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1EEDD" w14:textId="2D9586F6" w:rsidR="00AA6E84" w:rsidRPr="00E46CF3" w:rsidRDefault="00FD3BEB" w:rsidP="00D8628A">
      <w:pPr>
        <w:pStyle w:val="BodyText"/>
        <w:spacing w:before="240" w:after="240" w:line="276" w:lineRule="auto"/>
        <w:jc w:val="center"/>
        <w:rPr>
          <w:u w:val="single"/>
        </w:rPr>
      </w:pPr>
      <w:bookmarkStart w:id="0" w:name="_bookmark0"/>
      <w:bookmarkStart w:id="1" w:name="_bookmark1"/>
      <w:bookmarkStart w:id="2" w:name="_bookmark2"/>
      <w:bookmarkStart w:id="3" w:name="_bookmark3"/>
      <w:bookmarkEnd w:id="0"/>
      <w:bookmarkEnd w:id="1"/>
      <w:bookmarkEnd w:id="2"/>
      <w:bookmarkEnd w:id="3"/>
      <w:r w:rsidRPr="0514AFC8">
        <w:rPr>
          <w:u w:val="single"/>
        </w:rPr>
        <w:t>SECTION 227</w:t>
      </w:r>
      <w:r w:rsidR="005F793E" w:rsidRPr="0514AFC8">
        <w:rPr>
          <w:u w:val="single"/>
        </w:rPr>
        <w:t>-0001</w:t>
      </w:r>
      <w:r w:rsidRPr="0514AFC8">
        <w:rPr>
          <w:u w:val="single"/>
        </w:rPr>
        <w:t xml:space="preserve"> – MECHANICALLY STABILIZED EARTH RETAINING WALL</w:t>
      </w:r>
      <w:r w:rsidR="00BB1C88" w:rsidRPr="0514AFC8">
        <w:rPr>
          <w:u w:val="single"/>
        </w:rPr>
        <w:t xml:space="preserve">, </w:t>
      </w:r>
      <w:r w:rsidRPr="0514AFC8">
        <w:rPr>
          <w:u w:val="single"/>
        </w:rPr>
        <w:t>FGA</w:t>
      </w:r>
    </w:p>
    <w:p w14:paraId="63BF81A6" w14:textId="3AC97E7F" w:rsidR="00AA6E84" w:rsidRPr="00E46CF3" w:rsidRDefault="00424406" w:rsidP="00D8628A">
      <w:pPr>
        <w:tabs>
          <w:tab w:val="left" w:pos="880"/>
        </w:tabs>
        <w:spacing w:before="240" w:after="240" w:line="276" w:lineRule="auto"/>
        <w:jc w:val="both"/>
        <w:rPr>
          <w:sz w:val="24"/>
          <w:szCs w:val="24"/>
        </w:rPr>
      </w:pPr>
      <w:bookmarkStart w:id="4" w:name="_bookmark6"/>
      <w:bookmarkStart w:id="5" w:name="_bookmark7"/>
      <w:bookmarkEnd w:id="4"/>
      <w:bookmarkEnd w:id="5"/>
      <w:r w:rsidRPr="00E46CF3">
        <w:rPr>
          <w:sz w:val="24"/>
          <w:szCs w:val="24"/>
          <w:u w:val="single"/>
        </w:rPr>
        <w:t>227-0001.</w:t>
      </w:r>
      <w:r w:rsidR="00FC4F1E" w:rsidRPr="00E46CF3">
        <w:rPr>
          <w:sz w:val="24"/>
          <w:szCs w:val="24"/>
          <w:u w:val="single"/>
        </w:rPr>
        <w:t>01</w:t>
      </w:r>
      <w:r w:rsidR="00FC4F1E">
        <w:rPr>
          <w:sz w:val="24"/>
          <w:szCs w:val="24"/>
          <w:u w:val="single"/>
        </w:rPr>
        <w:t>  </w:t>
      </w:r>
      <w:r w:rsidRPr="00E46CF3">
        <w:rPr>
          <w:sz w:val="24"/>
          <w:szCs w:val="24"/>
          <w:u w:val="single"/>
        </w:rPr>
        <w:t>DESCRIPTION</w:t>
      </w:r>
      <w:r w:rsidRPr="00E46CF3">
        <w:rPr>
          <w:sz w:val="24"/>
          <w:szCs w:val="24"/>
        </w:rPr>
        <w:t>. This work shall consist of designing, detailing, fabricating, furnishing, and</w:t>
      </w:r>
      <w:bookmarkStart w:id="6" w:name="_bookmark5"/>
      <w:bookmarkEnd w:id="6"/>
      <w:r w:rsidRPr="00E46CF3">
        <w:rPr>
          <w:sz w:val="24"/>
          <w:szCs w:val="24"/>
        </w:rPr>
        <w:t xml:space="preserve"> erecting mechanically stabilized earth (MSE) retaining walls </w:t>
      </w:r>
      <w:r w:rsidR="006A153B" w:rsidRPr="00E46CF3">
        <w:rPr>
          <w:sz w:val="24"/>
          <w:szCs w:val="24"/>
        </w:rPr>
        <w:t>with foamed glass aggregate</w:t>
      </w:r>
      <w:r w:rsidR="00766EBB" w:rsidRPr="00E46CF3">
        <w:rPr>
          <w:sz w:val="24"/>
          <w:szCs w:val="24"/>
        </w:rPr>
        <w:t xml:space="preserve"> (FGA)</w:t>
      </w:r>
      <w:r w:rsidR="006A153B" w:rsidRPr="00E46CF3">
        <w:rPr>
          <w:sz w:val="24"/>
          <w:szCs w:val="24"/>
        </w:rPr>
        <w:t xml:space="preserve"> </w:t>
      </w:r>
      <w:r w:rsidR="001911D8">
        <w:rPr>
          <w:sz w:val="24"/>
          <w:szCs w:val="24"/>
        </w:rPr>
        <w:t xml:space="preserve">backfill </w:t>
      </w:r>
      <w:r w:rsidRPr="00E46CF3">
        <w:rPr>
          <w:sz w:val="24"/>
          <w:szCs w:val="24"/>
        </w:rPr>
        <w:t>in accordance with these</w:t>
      </w:r>
      <w:bookmarkStart w:id="7" w:name="_bookmark8"/>
      <w:bookmarkEnd w:id="7"/>
      <w:r w:rsidRPr="00E46CF3">
        <w:rPr>
          <w:sz w:val="24"/>
          <w:szCs w:val="24"/>
        </w:rPr>
        <w:t xml:space="preserve"> specifications</w:t>
      </w:r>
      <w:r w:rsidR="006A153B" w:rsidRPr="00E46CF3">
        <w:rPr>
          <w:sz w:val="24"/>
          <w:szCs w:val="24"/>
        </w:rPr>
        <w:t xml:space="preserve">, </w:t>
      </w:r>
      <w:r w:rsidR="006A153B" w:rsidRPr="00E46CF3">
        <w:rPr>
          <w:sz w:val="24"/>
          <w:szCs w:val="24"/>
          <w:u w:val="single"/>
        </w:rPr>
        <w:t>Section 227</w:t>
      </w:r>
      <w:r w:rsidR="006A153B" w:rsidRPr="00E46CF3">
        <w:rPr>
          <w:sz w:val="24"/>
          <w:szCs w:val="24"/>
        </w:rPr>
        <w:t>,</w:t>
      </w:r>
      <w:r w:rsidRPr="00E46CF3">
        <w:rPr>
          <w:sz w:val="24"/>
          <w:szCs w:val="24"/>
        </w:rPr>
        <w:t xml:space="preserve"> and the lines, grades, details, and dimensions shown on the Plans</w:t>
      </w:r>
      <w:r w:rsidR="00C83D86">
        <w:rPr>
          <w:sz w:val="24"/>
          <w:szCs w:val="24"/>
        </w:rPr>
        <w:t>,</w:t>
      </w:r>
      <w:r w:rsidRPr="00E46CF3">
        <w:rPr>
          <w:sz w:val="24"/>
          <w:szCs w:val="24"/>
        </w:rPr>
        <w:t xml:space="preserve"> or</w:t>
      </w:r>
      <w:bookmarkStart w:id="8" w:name="_bookmark4"/>
      <w:bookmarkEnd w:id="8"/>
      <w:r w:rsidRPr="00E46CF3">
        <w:rPr>
          <w:sz w:val="24"/>
          <w:szCs w:val="24"/>
        </w:rPr>
        <w:t xml:space="preserve"> as directed by the</w:t>
      </w:r>
      <w:r w:rsidRPr="00E46CF3">
        <w:rPr>
          <w:spacing w:val="-1"/>
          <w:sz w:val="24"/>
          <w:szCs w:val="24"/>
        </w:rPr>
        <w:t xml:space="preserve"> </w:t>
      </w:r>
      <w:r w:rsidRPr="00E46CF3">
        <w:rPr>
          <w:sz w:val="24"/>
          <w:szCs w:val="24"/>
        </w:rPr>
        <w:t>Engineer.</w:t>
      </w:r>
    </w:p>
    <w:p w14:paraId="492BD728" w14:textId="1F428818" w:rsidR="00FC4F1E" w:rsidRPr="00FC4F1E" w:rsidRDefault="00424406" w:rsidP="00D8628A">
      <w:pPr>
        <w:tabs>
          <w:tab w:val="right" w:pos="8460"/>
        </w:tabs>
        <w:spacing w:before="240" w:after="240" w:line="276" w:lineRule="auto"/>
        <w:jc w:val="both"/>
        <w:rPr>
          <w:sz w:val="24"/>
          <w:szCs w:val="24"/>
        </w:rPr>
      </w:pPr>
      <w:bookmarkStart w:id="9" w:name="_bookmark9"/>
      <w:bookmarkStart w:id="10" w:name="_bookmark10"/>
      <w:bookmarkEnd w:id="9"/>
      <w:bookmarkEnd w:id="10"/>
      <w:r w:rsidRPr="0514AFC8">
        <w:rPr>
          <w:sz w:val="24"/>
          <w:szCs w:val="24"/>
          <w:u w:val="single"/>
        </w:rPr>
        <w:t>227-0001.</w:t>
      </w:r>
      <w:r w:rsidR="00FC4F1E" w:rsidRPr="0514AFC8">
        <w:rPr>
          <w:sz w:val="24"/>
          <w:szCs w:val="24"/>
          <w:u w:val="single"/>
        </w:rPr>
        <w:t>02  </w:t>
      </w:r>
      <w:r w:rsidRPr="0514AFC8">
        <w:rPr>
          <w:sz w:val="24"/>
          <w:szCs w:val="24"/>
          <w:u w:val="single"/>
        </w:rPr>
        <w:t>MATERIALS</w:t>
      </w:r>
      <w:r w:rsidRPr="0514AFC8">
        <w:rPr>
          <w:sz w:val="24"/>
          <w:szCs w:val="24"/>
        </w:rPr>
        <w:t xml:space="preserve">. </w:t>
      </w:r>
      <w:r w:rsidR="00FC4F1E" w:rsidRPr="0514AFC8">
        <w:rPr>
          <w:sz w:val="24"/>
          <w:szCs w:val="24"/>
        </w:rPr>
        <w:t>Materials shall meet the requirements of the following subsections:</w:t>
      </w:r>
    </w:p>
    <w:p w14:paraId="31E9E43C" w14:textId="77777777" w:rsidR="00FC4F1E" w:rsidRPr="00D8628A" w:rsidRDefault="00FC4F1E" w:rsidP="00676637">
      <w:pPr>
        <w:widowControl/>
        <w:tabs>
          <w:tab w:val="left" w:leader="dot" w:pos="7920"/>
        </w:tabs>
        <w:autoSpaceDE/>
        <w:autoSpaceDN/>
        <w:spacing w:before="240" w:after="240" w:line="276" w:lineRule="auto"/>
        <w:contextualSpacing/>
        <w:jc w:val="both"/>
        <w:rPr>
          <w:sz w:val="24"/>
          <w:szCs w:val="24"/>
        </w:rPr>
      </w:pPr>
      <w:r w:rsidRPr="00D8628A">
        <w:rPr>
          <w:sz w:val="24"/>
          <w:szCs w:val="24"/>
        </w:rPr>
        <w:t>Drainage Aggregate</w:t>
      </w:r>
      <w:r w:rsidRPr="00D8628A">
        <w:rPr>
          <w:sz w:val="24"/>
          <w:szCs w:val="24"/>
        </w:rPr>
        <w:tab/>
        <w:t>704.16</w:t>
      </w:r>
    </w:p>
    <w:p w14:paraId="2A83378D" w14:textId="77777777" w:rsidR="00FC4F1E" w:rsidRPr="00D8628A" w:rsidRDefault="00FC4F1E" w:rsidP="00676637">
      <w:pPr>
        <w:widowControl/>
        <w:tabs>
          <w:tab w:val="left" w:leader="dot" w:pos="7920"/>
        </w:tabs>
        <w:autoSpaceDE/>
        <w:autoSpaceDN/>
        <w:spacing w:before="240" w:after="240" w:line="276" w:lineRule="auto"/>
        <w:contextualSpacing/>
        <w:jc w:val="both"/>
        <w:rPr>
          <w:sz w:val="20"/>
          <w:szCs w:val="20"/>
        </w:rPr>
      </w:pPr>
      <w:r w:rsidRPr="00D8628A">
        <w:rPr>
          <w:sz w:val="24"/>
          <w:szCs w:val="24"/>
        </w:rPr>
        <w:t>Polyvinyl Chloride (PVC) Plastic Pipe</w:t>
      </w:r>
      <w:r w:rsidRPr="00D8628A">
        <w:rPr>
          <w:sz w:val="24"/>
          <w:szCs w:val="24"/>
        </w:rPr>
        <w:tab/>
        <w:t>710.05</w:t>
      </w:r>
    </w:p>
    <w:p w14:paraId="06F6EB93" w14:textId="77777777" w:rsidR="00FC4F1E" w:rsidRPr="00D8628A" w:rsidRDefault="00FC4F1E" w:rsidP="00676637">
      <w:pPr>
        <w:widowControl/>
        <w:tabs>
          <w:tab w:val="left" w:leader="dot" w:pos="7920"/>
        </w:tabs>
        <w:autoSpaceDE/>
        <w:autoSpaceDN/>
        <w:spacing w:before="240" w:after="240" w:line="276" w:lineRule="auto"/>
        <w:contextualSpacing/>
        <w:jc w:val="both"/>
        <w:rPr>
          <w:sz w:val="24"/>
          <w:szCs w:val="24"/>
        </w:rPr>
      </w:pPr>
      <w:r w:rsidRPr="00D8628A">
        <w:rPr>
          <w:sz w:val="24"/>
          <w:szCs w:val="24"/>
        </w:rPr>
        <w:t>Bar Reinforcement</w:t>
      </w:r>
      <w:r w:rsidRPr="00D8628A">
        <w:rPr>
          <w:sz w:val="24"/>
          <w:szCs w:val="24"/>
        </w:rPr>
        <w:tab/>
        <w:t>713.01</w:t>
      </w:r>
    </w:p>
    <w:p w14:paraId="49B82797" w14:textId="77777777" w:rsidR="00FC4F1E" w:rsidRPr="00D8628A" w:rsidRDefault="00FC4F1E" w:rsidP="00676637">
      <w:pPr>
        <w:widowControl/>
        <w:tabs>
          <w:tab w:val="left" w:leader="dot" w:pos="7920"/>
        </w:tabs>
        <w:adjustRightInd w:val="0"/>
        <w:spacing w:before="240" w:after="240" w:line="276" w:lineRule="auto"/>
        <w:contextualSpacing/>
        <w:jc w:val="both"/>
        <w:rPr>
          <w:sz w:val="24"/>
          <w:szCs w:val="24"/>
        </w:rPr>
      </w:pPr>
      <w:r w:rsidRPr="00D8628A">
        <w:rPr>
          <w:sz w:val="24"/>
          <w:szCs w:val="24"/>
        </w:rPr>
        <w:t>Mechanical Splices for Bar Reinforcement</w:t>
      </w:r>
      <w:r w:rsidRPr="00D8628A">
        <w:rPr>
          <w:sz w:val="24"/>
          <w:szCs w:val="24"/>
        </w:rPr>
        <w:tab/>
        <w:t>713.02</w:t>
      </w:r>
    </w:p>
    <w:p w14:paraId="38D3A6BF" w14:textId="77777777" w:rsidR="00FC4F1E" w:rsidRPr="00D8628A" w:rsidRDefault="00FC4F1E" w:rsidP="00676637">
      <w:pPr>
        <w:widowControl/>
        <w:tabs>
          <w:tab w:val="left" w:leader="dot" w:pos="7920"/>
        </w:tabs>
        <w:adjustRightInd w:val="0"/>
        <w:spacing w:before="240" w:after="240" w:line="276" w:lineRule="auto"/>
        <w:contextualSpacing/>
        <w:jc w:val="both"/>
        <w:rPr>
          <w:sz w:val="24"/>
          <w:szCs w:val="24"/>
        </w:rPr>
      </w:pPr>
      <w:r w:rsidRPr="00D8628A">
        <w:rPr>
          <w:sz w:val="24"/>
          <w:szCs w:val="24"/>
        </w:rPr>
        <w:t>Geotextile for Roadbed Separator</w:t>
      </w:r>
      <w:r w:rsidRPr="00D8628A">
        <w:rPr>
          <w:sz w:val="24"/>
          <w:szCs w:val="24"/>
        </w:rPr>
        <w:tab/>
        <w:t>720.02</w:t>
      </w:r>
    </w:p>
    <w:p w14:paraId="2AB0AD87" w14:textId="77777777" w:rsidR="00FC4F1E" w:rsidRPr="00D8628A" w:rsidRDefault="00FC4F1E" w:rsidP="00676637">
      <w:pPr>
        <w:widowControl/>
        <w:tabs>
          <w:tab w:val="left" w:leader="dot" w:pos="7920"/>
        </w:tabs>
        <w:autoSpaceDE/>
        <w:autoSpaceDN/>
        <w:spacing w:before="240" w:after="240" w:line="276" w:lineRule="auto"/>
        <w:contextualSpacing/>
        <w:jc w:val="both"/>
        <w:rPr>
          <w:sz w:val="24"/>
          <w:szCs w:val="24"/>
        </w:rPr>
      </w:pPr>
      <w:r w:rsidRPr="00D8628A">
        <w:rPr>
          <w:sz w:val="24"/>
          <w:szCs w:val="24"/>
        </w:rPr>
        <w:t>Mechanically Stabilized Earth (MSE) Wall Systems</w:t>
      </w:r>
      <w:r w:rsidRPr="00D8628A">
        <w:rPr>
          <w:sz w:val="24"/>
          <w:szCs w:val="24"/>
        </w:rPr>
        <w:tab/>
        <w:t>760.06</w:t>
      </w:r>
    </w:p>
    <w:p w14:paraId="56FDDA1A" w14:textId="77777777" w:rsidR="00FC4F1E" w:rsidRPr="00D8628A" w:rsidRDefault="00FC4F1E" w:rsidP="00676637">
      <w:pPr>
        <w:widowControl/>
        <w:tabs>
          <w:tab w:val="left" w:leader="dot" w:pos="7920"/>
        </w:tabs>
        <w:autoSpaceDE/>
        <w:autoSpaceDN/>
        <w:spacing w:before="240" w:after="240" w:line="276" w:lineRule="auto"/>
        <w:jc w:val="both"/>
        <w:rPr>
          <w:sz w:val="24"/>
          <w:szCs w:val="24"/>
        </w:rPr>
      </w:pPr>
      <w:r w:rsidRPr="00D8628A">
        <w:rPr>
          <w:sz w:val="24"/>
          <w:szCs w:val="24"/>
        </w:rPr>
        <w:t>Geomembrane Liner</w:t>
      </w:r>
      <w:r w:rsidRPr="00D8628A">
        <w:rPr>
          <w:sz w:val="24"/>
          <w:szCs w:val="24"/>
        </w:rPr>
        <w:tab/>
        <w:t>760.07</w:t>
      </w:r>
    </w:p>
    <w:p w14:paraId="63A4EAEA" w14:textId="77777777" w:rsidR="00FC4F1E" w:rsidRPr="00BB1C88" w:rsidRDefault="00FC4F1E" w:rsidP="00676637">
      <w:pPr>
        <w:widowControl/>
        <w:adjustRightInd w:val="0"/>
        <w:spacing w:before="240" w:after="240" w:line="276" w:lineRule="auto"/>
        <w:jc w:val="both"/>
        <w:rPr>
          <w:sz w:val="24"/>
          <w:szCs w:val="24"/>
        </w:rPr>
      </w:pPr>
      <w:r w:rsidRPr="00FC4F1E">
        <w:rPr>
          <w:sz w:val="24"/>
          <w:szCs w:val="24"/>
        </w:rPr>
        <w:t xml:space="preserve">Precast concrete shall meet the requirements </w:t>
      </w:r>
      <w:r w:rsidRPr="00BB1C88">
        <w:rPr>
          <w:sz w:val="24"/>
          <w:szCs w:val="24"/>
        </w:rPr>
        <w:t xml:space="preserve">of </w:t>
      </w:r>
      <w:r w:rsidRPr="00D8628A">
        <w:rPr>
          <w:sz w:val="24"/>
          <w:szCs w:val="24"/>
          <w:u w:val="single"/>
        </w:rPr>
        <w:t>Section 540</w:t>
      </w:r>
      <w:r w:rsidRPr="00BB1C88">
        <w:rPr>
          <w:sz w:val="24"/>
          <w:szCs w:val="24"/>
        </w:rPr>
        <w:t>.</w:t>
      </w:r>
    </w:p>
    <w:p w14:paraId="48D4FA2F" w14:textId="77777777" w:rsidR="00FC4F1E" w:rsidRPr="00FC4F1E" w:rsidRDefault="00FC4F1E" w:rsidP="00676637">
      <w:pPr>
        <w:widowControl/>
        <w:adjustRightInd w:val="0"/>
        <w:spacing w:before="240" w:after="240" w:line="276" w:lineRule="auto"/>
        <w:jc w:val="both"/>
        <w:rPr>
          <w:sz w:val="24"/>
          <w:szCs w:val="24"/>
        </w:rPr>
      </w:pPr>
      <w:r w:rsidRPr="00FC4F1E">
        <w:rPr>
          <w:sz w:val="24"/>
          <w:szCs w:val="24"/>
        </w:rPr>
        <w:t xml:space="preserve">Reinforcing steel shall meet the requirements for Level II corrosion resistance unless otherwise specified on the Plans. </w:t>
      </w:r>
    </w:p>
    <w:p w14:paraId="3B704D8B" w14:textId="396ED929" w:rsidR="00424406" w:rsidRPr="00E46CF3" w:rsidDel="00C2594C" w:rsidRDefault="00424406">
      <w:pPr>
        <w:pStyle w:val="BodyText"/>
        <w:spacing w:before="240" w:after="240" w:line="276" w:lineRule="auto"/>
        <w:ind w:left="720" w:hanging="720"/>
        <w:jc w:val="both"/>
      </w:pPr>
      <w:r>
        <w:t>(a)</w:t>
      </w:r>
      <w:r>
        <w:tab/>
      </w:r>
      <w:r w:rsidRPr="0514AFC8">
        <w:rPr>
          <w:u w:val="single"/>
        </w:rPr>
        <w:t>Foamed Glass Aggregate</w:t>
      </w:r>
      <w:r>
        <w:t>.</w:t>
      </w:r>
      <w:r w:rsidR="00C2594C">
        <w:t xml:space="preserve"> </w:t>
      </w:r>
      <w:r w:rsidR="0EEBE40E">
        <w:t xml:space="preserve">FGA </w:t>
      </w:r>
      <w:r w:rsidR="0BA49B95">
        <w:t xml:space="preserve">shall be </w:t>
      </w:r>
      <w:r w:rsidR="421643DC">
        <w:t>a lightweight</w:t>
      </w:r>
      <w:r w:rsidR="1751710B">
        <w:t xml:space="preserve"> (low-density), </w:t>
      </w:r>
      <w:r w:rsidR="0373B3BA">
        <w:t xml:space="preserve">closed cell, </w:t>
      </w:r>
      <w:r w:rsidR="00D8628A">
        <w:t>non-leaching</w:t>
      </w:r>
      <w:r w:rsidR="421643DC">
        <w:t xml:space="preserve"> aggregate consi</w:t>
      </w:r>
      <w:r w:rsidR="63063656">
        <w:t>s</w:t>
      </w:r>
      <w:r w:rsidR="421643DC">
        <w:t xml:space="preserve">ting of </w:t>
      </w:r>
      <w:r w:rsidR="0EEBE40E">
        <w:t xml:space="preserve">post-consumer recycled glass </w:t>
      </w:r>
      <w:r w:rsidR="1361FB41">
        <w:t>with a</w:t>
      </w:r>
      <w:r w:rsidR="0EEBE40E">
        <w:t xml:space="preserve"> minimum </w:t>
      </w:r>
      <w:r w:rsidR="50D93161">
        <w:t xml:space="preserve">recycled content </w:t>
      </w:r>
      <w:r w:rsidR="0EEBE40E">
        <w:t>of 98%</w:t>
      </w:r>
      <w:r w:rsidR="0379C7CF">
        <w:t>.</w:t>
      </w:r>
      <w:r w:rsidR="115DF744">
        <w:t xml:space="preserve"> </w:t>
      </w:r>
    </w:p>
    <w:p w14:paraId="5E5B8E88" w14:textId="61BB6C3F" w:rsidR="00424406" w:rsidRDefault="00424406" w:rsidP="00D8628A">
      <w:pPr>
        <w:pStyle w:val="BodyText"/>
        <w:spacing w:before="240" w:after="240" w:line="276" w:lineRule="auto"/>
        <w:ind w:left="720" w:hanging="720"/>
        <w:jc w:val="both"/>
      </w:pPr>
      <w:r>
        <w:t>(1)</w:t>
      </w:r>
      <w:r>
        <w:tab/>
      </w:r>
      <w:r w:rsidR="00D96037" w:rsidRPr="00D96037">
        <w:rPr>
          <w:u w:val="single"/>
        </w:rPr>
        <w:t>Grading</w:t>
      </w:r>
      <w:r w:rsidR="22722B9E">
        <w:t xml:space="preserve">. </w:t>
      </w:r>
      <w:r>
        <w:t xml:space="preserve">FGA shall meet the </w:t>
      </w:r>
      <w:proofErr w:type="spellStart"/>
      <w:r>
        <w:t>gradation</w:t>
      </w:r>
      <w:proofErr w:type="spellEnd"/>
      <w:r>
        <w:t xml:space="preserve"> </w:t>
      </w:r>
      <w:r w:rsidR="00C2594C">
        <w:t xml:space="preserve">requirements </w:t>
      </w:r>
      <w:r w:rsidR="00FC4F1E">
        <w:t xml:space="preserve">of </w:t>
      </w:r>
      <w:r w:rsidR="00FC4F1E" w:rsidRPr="00D8628A">
        <w:rPr>
          <w:u w:val="single"/>
        </w:rPr>
        <w:t>Table</w:t>
      </w:r>
      <w:r w:rsidRPr="00D8628A">
        <w:rPr>
          <w:u w:val="single"/>
        </w:rPr>
        <w:t xml:space="preserve"> </w:t>
      </w:r>
      <w:r w:rsidR="00FC4F1E" w:rsidRPr="00D8628A">
        <w:rPr>
          <w:u w:val="single"/>
        </w:rPr>
        <w:t>227-0001.02</w:t>
      </w:r>
      <w:r w:rsidR="00FC4F1E" w:rsidRPr="00D551B9">
        <w:rPr>
          <w:u w:val="single"/>
        </w:rPr>
        <w:t>A</w:t>
      </w:r>
      <w:r w:rsidR="73265AC6" w:rsidRPr="0514AFC8">
        <w:rPr>
          <w:u w:val="single"/>
        </w:rPr>
        <w:t xml:space="preserve">, as determined in accordance with </w:t>
      </w:r>
      <w:r w:rsidR="00D96037" w:rsidRPr="00D96037">
        <w:rPr>
          <w:i/>
          <w:iCs/>
          <w:u w:val="single"/>
        </w:rPr>
        <w:t>AASHTO T 27</w:t>
      </w:r>
      <w:r w:rsidR="00FC4F1E">
        <w:t>.</w:t>
      </w:r>
    </w:p>
    <w:p w14:paraId="1FF74FD7" w14:textId="41A91DAF" w:rsidR="00FC4F1E" w:rsidRPr="00D8628A" w:rsidRDefault="00FC4F1E" w:rsidP="00D8628A">
      <w:pPr>
        <w:pStyle w:val="BodyText"/>
        <w:spacing w:before="240" w:after="240" w:line="276" w:lineRule="auto"/>
        <w:jc w:val="center"/>
      </w:pPr>
      <w:r w:rsidRPr="00D8628A">
        <w:t>TABLE 227-0001.02</w:t>
      </w:r>
      <w:r w:rsidR="00BB1C88">
        <w:t>A</w:t>
      </w:r>
      <w:r>
        <w:t xml:space="preserve"> – </w:t>
      </w:r>
      <w:r w:rsidR="005B1A05">
        <w:t>GRADATION OF FOAMED GLASS AGGREGATE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612"/>
      </w:tblGrid>
      <w:tr w:rsidR="00424406" w:rsidRPr="00E46CF3" w14:paraId="1D4ACE84" w14:textId="77777777" w:rsidTr="00D8628A">
        <w:trPr>
          <w:trHeight w:val="551"/>
          <w:jc w:val="center"/>
        </w:trPr>
        <w:tc>
          <w:tcPr>
            <w:tcW w:w="1977" w:type="dxa"/>
            <w:shd w:val="clear" w:color="auto" w:fill="F2F2F2" w:themeFill="background1" w:themeFillShade="F2"/>
            <w:vAlign w:val="center"/>
          </w:tcPr>
          <w:p w14:paraId="7977EAB8" w14:textId="4DCAAF1C" w:rsidR="00424406" w:rsidRPr="00FE3A08" w:rsidRDefault="00424406" w:rsidP="00D8628A">
            <w:pPr>
              <w:pStyle w:val="TableParagraph"/>
              <w:kinsoku w:val="0"/>
              <w:overflowPunct w:val="0"/>
              <w:spacing w:before="60" w:after="60" w:line="276" w:lineRule="auto"/>
              <w:rPr>
                <w:sz w:val="20"/>
                <w:szCs w:val="20"/>
              </w:rPr>
            </w:pPr>
            <w:r w:rsidRPr="00FE3A08">
              <w:rPr>
                <w:sz w:val="20"/>
                <w:szCs w:val="20"/>
              </w:rPr>
              <w:t xml:space="preserve">Sieve </w:t>
            </w:r>
            <w:r w:rsidR="0002778C">
              <w:rPr>
                <w:sz w:val="20"/>
                <w:szCs w:val="20"/>
              </w:rPr>
              <w:t>Designation</w:t>
            </w:r>
          </w:p>
        </w:tc>
        <w:tc>
          <w:tcPr>
            <w:tcW w:w="2612" w:type="dxa"/>
            <w:shd w:val="clear" w:color="auto" w:fill="F2F2F2" w:themeFill="background1" w:themeFillShade="F2"/>
            <w:vAlign w:val="center"/>
          </w:tcPr>
          <w:p w14:paraId="78E8FD50" w14:textId="42BAA4EC" w:rsidR="00424406" w:rsidRPr="00FE3A08" w:rsidRDefault="000E5806" w:rsidP="00D8628A">
            <w:pPr>
              <w:pStyle w:val="TableParagraph"/>
              <w:kinsoku w:val="0"/>
              <w:overflowPunct w:val="0"/>
              <w:spacing w:before="60" w:after="60" w:line="276" w:lineRule="auto"/>
              <w:jc w:val="center"/>
              <w:rPr>
                <w:sz w:val="20"/>
                <w:szCs w:val="20"/>
              </w:rPr>
            </w:pPr>
            <w:r>
              <w:rPr>
                <w:sz w:val="20"/>
                <w:szCs w:val="20"/>
              </w:rPr>
              <w:t>Percentage by Mass (Weight)</w:t>
            </w:r>
            <w:r w:rsidR="00A964D9">
              <w:rPr>
                <w:sz w:val="20"/>
                <w:szCs w:val="20"/>
              </w:rPr>
              <w:t xml:space="preserve"> Passing Square Mesh Sieves</w:t>
            </w:r>
            <w:r>
              <w:rPr>
                <w:sz w:val="20"/>
                <w:szCs w:val="20"/>
              </w:rPr>
              <w:t xml:space="preserve"> </w:t>
            </w:r>
          </w:p>
        </w:tc>
      </w:tr>
      <w:tr w:rsidR="00424406" w:rsidRPr="00E46CF3" w14:paraId="2DA25E6F" w14:textId="77777777" w:rsidTr="00D8628A">
        <w:trPr>
          <w:trHeight w:val="276"/>
          <w:jc w:val="center"/>
        </w:trPr>
        <w:tc>
          <w:tcPr>
            <w:tcW w:w="1977" w:type="dxa"/>
            <w:vAlign w:val="center"/>
          </w:tcPr>
          <w:p w14:paraId="59E15985" w14:textId="4D91E12C" w:rsidR="00424406" w:rsidRPr="00FE3A08" w:rsidRDefault="00424406" w:rsidP="00D8628A">
            <w:pPr>
              <w:pStyle w:val="TableParagraph"/>
              <w:kinsoku w:val="0"/>
              <w:overflowPunct w:val="0"/>
              <w:spacing w:before="60" w:after="60" w:line="276" w:lineRule="auto"/>
              <w:rPr>
                <w:sz w:val="20"/>
                <w:szCs w:val="20"/>
              </w:rPr>
            </w:pPr>
            <w:r w:rsidRPr="00FE3A08">
              <w:rPr>
                <w:sz w:val="20"/>
                <w:szCs w:val="20"/>
              </w:rPr>
              <w:t xml:space="preserve">4 </w:t>
            </w:r>
            <w:proofErr w:type="gramStart"/>
            <w:r w:rsidRPr="00FE3A08">
              <w:rPr>
                <w:sz w:val="20"/>
                <w:szCs w:val="20"/>
              </w:rPr>
              <w:t>inch</w:t>
            </w:r>
            <w:proofErr w:type="gramEnd"/>
            <w:r w:rsidR="00EF496F">
              <w:rPr>
                <w:sz w:val="20"/>
                <w:szCs w:val="20"/>
              </w:rPr>
              <w:t xml:space="preserve"> (100.0 mm)</w:t>
            </w:r>
          </w:p>
        </w:tc>
        <w:tc>
          <w:tcPr>
            <w:tcW w:w="2612" w:type="dxa"/>
            <w:vAlign w:val="center"/>
          </w:tcPr>
          <w:p w14:paraId="35342CAB" w14:textId="77777777" w:rsidR="00424406" w:rsidRPr="00FE3A08" w:rsidRDefault="00424406" w:rsidP="00D8628A">
            <w:pPr>
              <w:pStyle w:val="TableParagraph"/>
              <w:kinsoku w:val="0"/>
              <w:overflowPunct w:val="0"/>
              <w:spacing w:before="60" w:after="60" w:line="276" w:lineRule="auto"/>
              <w:jc w:val="center"/>
              <w:rPr>
                <w:sz w:val="20"/>
                <w:szCs w:val="20"/>
              </w:rPr>
            </w:pPr>
            <w:r w:rsidRPr="00FE3A08">
              <w:rPr>
                <w:sz w:val="20"/>
                <w:szCs w:val="20"/>
              </w:rPr>
              <w:t>100</w:t>
            </w:r>
          </w:p>
        </w:tc>
      </w:tr>
      <w:tr w:rsidR="00424406" w:rsidRPr="00E46CF3" w14:paraId="5CA959BC" w14:textId="77777777" w:rsidTr="00D8628A">
        <w:trPr>
          <w:trHeight w:val="275"/>
          <w:jc w:val="center"/>
        </w:trPr>
        <w:tc>
          <w:tcPr>
            <w:tcW w:w="1977" w:type="dxa"/>
            <w:vAlign w:val="center"/>
          </w:tcPr>
          <w:p w14:paraId="490D98A6" w14:textId="103569D7" w:rsidR="00424406" w:rsidRPr="00FE3A08" w:rsidRDefault="00424406" w:rsidP="00D8628A">
            <w:pPr>
              <w:pStyle w:val="TableParagraph"/>
              <w:kinsoku w:val="0"/>
              <w:overflowPunct w:val="0"/>
              <w:spacing w:before="60" w:after="60" w:line="276" w:lineRule="auto"/>
              <w:rPr>
                <w:sz w:val="20"/>
                <w:szCs w:val="20"/>
              </w:rPr>
            </w:pPr>
            <w:r w:rsidRPr="00FE3A08">
              <w:rPr>
                <w:sz w:val="20"/>
                <w:szCs w:val="20"/>
              </w:rPr>
              <w:t>2</w:t>
            </w:r>
            <w:r w:rsidR="00A964D9">
              <w:rPr>
                <w:sz w:val="20"/>
                <w:szCs w:val="20"/>
              </w:rPr>
              <w:t>-1/2</w:t>
            </w:r>
            <w:r w:rsidRPr="00FE3A08">
              <w:rPr>
                <w:sz w:val="20"/>
                <w:szCs w:val="20"/>
              </w:rPr>
              <w:t xml:space="preserve"> inch</w:t>
            </w:r>
            <w:r w:rsidR="00F6508C">
              <w:rPr>
                <w:sz w:val="20"/>
                <w:szCs w:val="20"/>
              </w:rPr>
              <w:t xml:space="preserve"> (63.0 mm)</w:t>
            </w:r>
          </w:p>
        </w:tc>
        <w:tc>
          <w:tcPr>
            <w:tcW w:w="2612" w:type="dxa"/>
            <w:vAlign w:val="center"/>
          </w:tcPr>
          <w:p w14:paraId="29A5E75B" w14:textId="778FF28F" w:rsidR="00424406" w:rsidRPr="00FE3A08" w:rsidRDefault="00424406" w:rsidP="00D8628A">
            <w:pPr>
              <w:pStyle w:val="TableParagraph"/>
              <w:kinsoku w:val="0"/>
              <w:overflowPunct w:val="0"/>
              <w:spacing w:before="60" w:after="60" w:line="276" w:lineRule="auto"/>
              <w:jc w:val="center"/>
              <w:rPr>
                <w:sz w:val="20"/>
                <w:szCs w:val="20"/>
              </w:rPr>
            </w:pPr>
            <w:r w:rsidRPr="00FE3A08">
              <w:rPr>
                <w:sz w:val="20"/>
                <w:szCs w:val="20"/>
              </w:rPr>
              <w:t>85</w:t>
            </w:r>
            <w:r w:rsidR="00971383">
              <w:rPr>
                <w:sz w:val="20"/>
                <w:szCs w:val="20"/>
              </w:rPr>
              <w:t xml:space="preserve"> </w:t>
            </w:r>
            <w:r w:rsidR="00971383" w:rsidRPr="00971383">
              <w:rPr>
                <w:sz w:val="20"/>
                <w:szCs w:val="20"/>
              </w:rPr>
              <w:t>–</w:t>
            </w:r>
            <w:r w:rsidR="00971383">
              <w:rPr>
                <w:sz w:val="20"/>
                <w:szCs w:val="20"/>
              </w:rPr>
              <w:t xml:space="preserve"> </w:t>
            </w:r>
            <w:r w:rsidRPr="00FE3A08">
              <w:rPr>
                <w:sz w:val="20"/>
                <w:szCs w:val="20"/>
              </w:rPr>
              <w:t>100</w:t>
            </w:r>
          </w:p>
        </w:tc>
      </w:tr>
      <w:tr w:rsidR="00424406" w:rsidRPr="00E46CF3" w14:paraId="79E2BCC4" w14:textId="77777777" w:rsidTr="00D8628A">
        <w:trPr>
          <w:trHeight w:val="276"/>
          <w:jc w:val="center"/>
        </w:trPr>
        <w:tc>
          <w:tcPr>
            <w:tcW w:w="1977" w:type="dxa"/>
            <w:vAlign w:val="center"/>
          </w:tcPr>
          <w:p w14:paraId="67E46CAB" w14:textId="6180A6E0" w:rsidR="00424406" w:rsidRPr="00FE3A08" w:rsidRDefault="00424406" w:rsidP="00D8628A">
            <w:pPr>
              <w:pStyle w:val="TableParagraph"/>
              <w:kinsoku w:val="0"/>
              <w:overflowPunct w:val="0"/>
              <w:spacing w:before="60" w:after="60" w:line="276" w:lineRule="auto"/>
              <w:rPr>
                <w:sz w:val="20"/>
                <w:szCs w:val="20"/>
              </w:rPr>
            </w:pPr>
            <w:r w:rsidRPr="00FE3A08">
              <w:rPr>
                <w:sz w:val="20"/>
                <w:szCs w:val="20"/>
              </w:rPr>
              <w:t>3/8 inch</w:t>
            </w:r>
            <w:r w:rsidR="0050756B">
              <w:rPr>
                <w:sz w:val="20"/>
                <w:szCs w:val="20"/>
              </w:rPr>
              <w:t xml:space="preserve"> (9.50 mm)</w:t>
            </w:r>
          </w:p>
        </w:tc>
        <w:tc>
          <w:tcPr>
            <w:tcW w:w="2612" w:type="dxa"/>
            <w:vAlign w:val="center"/>
          </w:tcPr>
          <w:p w14:paraId="4129C120" w14:textId="0DD8C3BB" w:rsidR="00424406" w:rsidRPr="00FE3A08" w:rsidRDefault="00424406" w:rsidP="00D8628A">
            <w:pPr>
              <w:pStyle w:val="TableParagraph"/>
              <w:kinsoku w:val="0"/>
              <w:overflowPunct w:val="0"/>
              <w:spacing w:before="60" w:after="60" w:line="276" w:lineRule="auto"/>
              <w:jc w:val="center"/>
              <w:rPr>
                <w:sz w:val="20"/>
                <w:szCs w:val="20"/>
              </w:rPr>
            </w:pPr>
            <w:r w:rsidRPr="00FE3A08">
              <w:rPr>
                <w:sz w:val="20"/>
                <w:szCs w:val="20"/>
              </w:rPr>
              <w:t>0</w:t>
            </w:r>
            <w:r w:rsidR="00971383">
              <w:rPr>
                <w:sz w:val="20"/>
                <w:szCs w:val="20"/>
              </w:rPr>
              <w:t xml:space="preserve"> </w:t>
            </w:r>
            <w:r w:rsidR="00971383" w:rsidRPr="00971383">
              <w:rPr>
                <w:sz w:val="20"/>
                <w:szCs w:val="20"/>
              </w:rPr>
              <w:t>–</w:t>
            </w:r>
            <w:r w:rsidR="00971383">
              <w:rPr>
                <w:sz w:val="20"/>
                <w:szCs w:val="20"/>
              </w:rPr>
              <w:t xml:space="preserve"> </w:t>
            </w:r>
            <w:r w:rsidRPr="00FE3A08">
              <w:rPr>
                <w:sz w:val="20"/>
                <w:szCs w:val="20"/>
              </w:rPr>
              <w:t>15</w:t>
            </w:r>
          </w:p>
        </w:tc>
      </w:tr>
    </w:tbl>
    <w:p w14:paraId="5B7A4A05" w14:textId="41F41322" w:rsidR="00EE75D5" w:rsidRPr="00E46CF3" w:rsidRDefault="21D5D9E0" w:rsidP="00676637">
      <w:pPr>
        <w:pStyle w:val="BodyText"/>
        <w:spacing w:before="240" w:after="240" w:line="276" w:lineRule="auto"/>
        <w:ind w:left="720"/>
        <w:jc w:val="both"/>
      </w:pPr>
      <w:r>
        <w:t xml:space="preserve">(2) </w:t>
      </w:r>
      <w:r w:rsidRPr="00D96037">
        <w:rPr>
          <w:u w:val="single"/>
        </w:rPr>
        <w:t>Friction Angle</w:t>
      </w:r>
      <w:r>
        <w:t xml:space="preserve">. </w:t>
      </w:r>
      <w:r w:rsidR="00600B84">
        <w:t xml:space="preserve">The supplier of FGA shall be responsible for providing independent laboratory test data defining the friction angle of the FGA material. The friction angle shall be determined in accordance with </w:t>
      </w:r>
      <w:r w:rsidR="00600B84" w:rsidRPr="00600B84">
        <w:rPr>
          <w:i/>
          <w:iCs/>
        </w:rPr>
        <w:t>AASHTO T 230</w:t>
      </w:r>
      <w:r w:rsidR="00600B84">
        <w:t xml:space="preserve">. The maximum allowable friction angle from a design perspective is </w:t>
      </w:r>
      <w:r w:rsidR="00EE75D5">
        <w:t>38</w:t>
      </w:r>
      <w:r w:rsidR="000E3457">
        <w:t>°</w:t>
      </w:r>
      <w:r w:rsidR="00EE75D5">
        <w:t>. Compliance with the test requirements shall be the responsibility of the Contractor and material supplier.</w:t>
      </w:r>
      <w:r w:rsidR="005B1A05">
        <w:t xml:space="preserve"> </w:t>
      </w:r>
      <w:r w:rsidR="00EE75D5">
        <w:t>The wall supplier shall be furnished a copy of the test results for the backfill prior to construction.</w:t>
      </w:r>
    </w:p>
    <w:p w14:paraId="2EFCFC78" w14:textId="017EEF0E" w:rsidR="005F793E" w:rsidRPr="00E46CF3" w:rsidRDefault="611B2ECA" w:rsidP="00D96037">
      <w:pPr>
        <w:pStyle w:val="BodyText"/>
        <w:spacing w:before="240" w:after="240" w:line="276" w:lineRule="auto"/>
        <w:ind w:left="720"/>
        <w:jc w:val="both"/>
      </w:pPr>
      <w:r>
        <w:t xml:space="preserve">(3) </w:t>
      </w:r>
      <w:r w:rsidRPr="00600B84">
        <w:rPr>
          <w:u w:val="single"/>
        </w:rPr>
        <w:t>Den</w:t>
      </w:r>
      <w:r w:rsidR="725EC9CA" w:rsidRPr="00600B84">
        <w:rPr>
          <w:u w:val="single"/>
        </w:rPr>
        <w:t>si</w:t>
      </w:r>
      <w:r w:rsidRPr="00600B84">
        <w:rPr>
          <w:u w:val="single"/>
        </w:rPr>
        <w:t>ty</w:t>
      </w:r>
      <w:r>
        <w:t xml:space="preserve">. </w:t>
      </w:r>
      <w:r w:rsidR="00424406">
        <w:t xml:space="preserve">The as-delivered FGA shall have a maximum dry bulk density of no more than 15 </w:t>
      </w:r>
      <w:r w:rsidR="00DF5136">
        <w:t>pounds per cubic foot</w:t>
      </w:r>
      <w:r w:rsidR="00424406">
        <w:t xml:space="preserve">. The loose bulk density of delivered FGA shall be determined </w:t>
      </w:r>
      <w:r w:rsidR="00C2594C">
        <w:t xml:space="preserve">in accordance </w:t>
      </w:r>
      <w:r w:rsidR="00C2594C">
        <w:lastRenderedPageBreak/>
        <w:t xml:space="preserve">with </w:t>
      </w:r>
      <w:r w:rsidR="00E63A42">
        <w:rPr>
          <w:i/>
          <w:iCs/>
        </w:rPr>
        <w:t>AASHTO T19</w:t>
      </w:r>
      <w:r w:rsidR="00424406">
        <w:t>. If necessary, this value shall be adjusted by the moisture content of the FGA to determine the dry</w:t>
      </w:r>
      <w:r w:rsidR="00D8628A">
        <w:t xml:space="preserve"> l</w:t>
      </w:r>
      <w:r w:rsidR="00424406">
        <w:t xml:space="preserve">oose bulk density. Moisture content shall be determined using </w:t>
      </w:r>
      <w:r w:rsidR="00424406" w:rsidRPr="00D8628A">
        <w:rPr>
          <w:i/>
          <w:iCs/>
        </w:rPr>
        <w:t>ASTM D2216</w:t>
      </w:r>
      <w:r w:rsidR="00424406">
        <w:t xml:space="preserve">, </w:t>
      </w:r>
      <w:r w:rsidR="00424406" w:rsidRPr="00D8628A">
        <w:rPr>
          <w:i/>
          <w:iCs/>
        </w:rPr>
        <w:t>ASTM D4959</w:t>
      </w:r>
      <w:r w:rsidR="00C2594C">
        <w:t>,</w:t>
      </w:r>
      <w:r w:rsidR="00424406">
        <w:t xml:space="preserve"> or </w:t>
      </w:r>
      <w:r w:rsidR="00424406" w:rsidRPr="00D8628A">
        <w:rPr>
          <w:i/>
          <w:iCs/>
        </w:rPr>
        <w:t>ASTM D4643</w:t>
      </w:r>
      <w:r w:rsidR="00424406">
        <w:t xml:space="preserve">. </w:t>
      </w:r>
    </w:p>
    <w:p w14:paraId="37633395" w14:textId="519D0511" w:rsidR="005F793E" w:rsidRPr="00E46CF3" w:rsidRDefault="005F793E" w:rsidP="00D8628A">
      <w:pPr>
        <w:pStyle w:val="BodyText"/>
        <w:spacing w:before="240" w:after="240" w:line="276" w:lineRule="auto"/>
        <w:jc w:val="both"/>
      </w:pPr>
      <w:r w:rsidRPr="00E46CF3">
        <w:rPr>
          <w:u w:val="single"/>
        </w:rPr>
        <w:t>227-0001.</w:t>
      </w:r>
      <w:r w:rsidR="00227890" w:rsidRPr="00E46CF3">
        <w:rPr>
          <w:u w:val="single"/>
        </w:rPr>
        <w:t>03</w:t>
      </w:r>
      <w:r w:rsidR="00227890">
        <w:rPr>
          <w:u w:val="single"/>
        </w:rPr>
        <w:t>  </w:t>
      </w:r>
      <w:r w:rsidR="00227890" w:rsidRPr="00E46CF3">
        <w:rPr>
          <w:u w:val="single"/>
        </w:rPr>
        <w:t>GENERAL</w:t>
      </w:r>
      <w:r w:rsidR="00227890">
        <w:rPr>
          <w:u w:val="single"/>
        </w:rPr>
        <w:t> </w:t>
      </w:r>
      <w:r w:rsidR="00424406" w:rsidRPr="00E46CF3">
        <w:rPr>
          <w:u w:val="single"/>
        </w:rPr>
        <w:t>REQUIREMENTS</w:t>
      </w:r>
      <w:r w:rsidR="00424406" w:rsidRPr="00E46CF3">
        <w:t xml:space="preserve">. Work </w:t>
      </w:r>
      <w:r w:rsidR="005F59A7">
        <w:t xml:space="preserve">under this section </w:t>
      </w:r>
      <w:r w:rsidR="00424406" w:rsidRPr="00E46CF3">
        <w:t xml:space="preserve">shall be </w:t>
      </w:r>
      <w:r w:rsidR="00227890">
        <w:t xml:space="preserve">performed </w:t>
      </w:r>
      <w:r w:rsidR="00424406" w:rsidRPr="00E46CF3">
        <w:t>in accordance with</w:t>
      </w:r>
      <w:r w:rsidR="0008768E">
        <w:t xml:space="preserve"> the requirements of</w:t>
      </w:r>
      <w:r w:rsidR="00424406" w:rsidRPr="00E46CF3">
        <w:t xml:space="preserve"> </w:t>
      </w:r>
      <w:r w:rsidR="00F07305" w:rsidRPr="00D8628A">
        <w:rPr>
          <w:u w:val="single"/>
        </w:rPr>
        <w:t>Subsection 227.03</w:t>
      </w:r>
      <w:r w:rsidR="00F07305">
        <w:t xml:space="preserve"> through </w:t>
      </w:r>
      <w:r w:rsidR="00F07305" w:rsidRPr="00D8628A">
        <w:rPr>
          <w:u w:val="single"/>
        </w:rPr>
        <w:t>Subsection 227.06</w:t>
      </w:r>
      <w:r w:rsidR="0008768E">
        <w:t>,</w:t>
      </w:r>
      <w:r w:rsidR="00EE75D5" w:rsidRPr="00E46CF3">
        <w:t xml:space="preserve"> the Plans, and the requirements of this specification</w:t>
      </w:r>
      <w:del w:id="11" w:author="Pochop, Peter" w:date="2025-02-12T12:57:00Z" w16du:dateUtc="2025-02-12T17:57:00Z">
        <w:r w:rsidR="00EE75D5" w:rsidRPr="00E46CF3" w:rsidDel="00B50FFD">
          <w:delText>.</w:delText>
        </w:r>
      </w:del>
    </w:p>
    <w:p w14:paraId="1A55BE92" w14:textId="0E3E84D6" w:rsidR="00EE75D5" w:rsidRPr="00E46CF3" w:rsidRDefault="00EE75D5" w:rsidP="00676637">
      <w:pPr>
        <w:pStyle w:val="BodyText"/>
        <w:spacing w:before="240" w:after="240" w:line="276" w:lineRule="auto"/>
        <w:ind w:left="720" w:hanging="720"/>
        <w:jc w:val="both"/>
        <w:rPr>
          <w:u w:val="single"/>
        </w:rPr>
      </w:pPr>
      <w:r w:rsidRPr="00E46CF3">
        <w:t>(a)</w:t>
      </w:r>
      <w:r w:rsidRPr="00E46CF3">
        <w:tab/>
      </w:r>
      <w:r w:rsidRPr="00E46CF3">
        <w:rPr>
          <w:u w:val="single"/>
        </w:rPr>
        <w:t>Storage and Handling</w:t>
      </w:r>
      <w:r w:rsidRPr="00E46CF3">
        <w:t xml:space="preserve">. </w:t>
      </w:r>
      <w:r w:rsidR="000109D6">
        <w:t>Materials shall be d</w:t>
      </w:r>
      <w:r w:rsidRPr="00E46CF3">
        <w:t>eliver</w:t>
      </w:r>
      <w:r w:rsidR="000109D6">
        <w:t>ed</w:t>
      </w:r>
      <w:r w:rsidRPr="00E46CF3">
        <w:t>, store</w:t>
      </w:r>
      <w:r w:rsidR="000109D6">
        <w:t>d</w:t>
      </w:r>
      <w:r w:rsidRPr="00E46CF3">
        <w:t>, and handle</w:t>
      </w:r>
      <w:r w:rsidR="000109D6">
        <w:t>d</w:t>
      </w:r>
      <w:r w:rsidRPr="00E46CF3">
        <w:t xml:space="preserve"> in accordance with </w:t>
      </w:r>
      <w:r w:rsidR="000109D6">
        <w:t xml:space="preserve">the </w:t>
      </w:r>
      <w:r w:rsidRPr="00E46CF3">
        <w:t>manufacturer’s recommendations.</w:t>
      </w:r>
      <w:del w:id="12" w:author="Pochop, Peter" w:date="2025-02-12T12:58:00Z" w16du:dateUtc="2025-02-12T17:58:00Z">
        <w:r w:rsidRPr="00E46CF3" w:rsidDel="004754D4">
          <w:delText xml:space="preserve"> </w:delText>
        </w:r>
      </w:del>
    </w:p>
    <w:p w14:paraId="667CB6E9" w14:textId="489EB88B" w:rsidR="00EE75D5" w:rsidRPr="00E46CF3" w:rsidRDefault="00BC3FAA" w:rsidP="00676637">
      <w:pPr>
        <w:pStyle w:val="BodyText"/>
        <w:spacing w:before="240" w:after="240" w:line="276" w:lineRule="auto"/>
        <w:ind w:left="720"/>
        <w:jc w:val="both"/>
      </w:pPr>
      <w:r>
        <w:t>The amount of material movement shall be minimized d</w:t>
      </w:r>
      <w:r w:rsidR="00EE75D5" w:rsidRPr="00E46CF3">
        <w:t>uring all stages of manufacture, shipment, storage, and construction</w:t>
      </w:r>
      <w:r>
        <w:t xml:space="preserve"> </w:t>
      </w:r>
      <w:r w:rsidR="00EE75D5" w:rsidRPr="00E46CF3">
        <w:t xml:space="preserve">to prevent physical damage. </w:t>
      </w:r>
    </w:p>
    <w:p w14:paraId="6323BFF0" w14:textId="6CC1B011" w:rsidR="00D96037" w:rsidRPr="00E46CF3" w:rsidRDefault="00EE75D5" w:rsidP="00D96037">
      <w:pPr>
        <w:pStyle w:val="BodyText"/>
        <w:spacing w:before="240" w:after="240" w:line="276" w:lineRule="auto"/>
        <w:ind w:left="720" w:hanging="720"/>
        <w:jc w:val="both"/>
      </w:pPr>
      <w:r w:rsidRPr="00E46CF3">
        <w:t>(b)</w:t>
      </w:r>
      <w:r w:rsidRPr="00E46CF3">
        <w:tab/>
      </w:r>
      <w:r w:rsidRPr="00E46CF3">
        <w:rPr>
          <w:u w:val="single"/>
        </w:rPr>
        <w:t>Placement and Compaction</w:t>
      </w:r>
      <w:r w:rsidRPr="00D8628A">
        <w:t xml:space="preserve">. </w:t>
      </w:r>
      <w:r w:rsidR="00073AD8">
        <w:t>G</w:t>
      </w:r>
      <w:r w:rsidRPr="00E46CF3">
        <w:t xml:space="preserve">eotextile and FGA </w:t>
      </w:r>
      <w:r w:rsidR="00073AD8">
        <w:t xml:space="preserve">shall be placed </w:t>
      </w:r>
      <w:r w:rsidRPr="00E46CF3">
        <w:t xml:space="preserve">at </w:t>
      </w:r>
      <w:r w:rsidR="00073AD8">
        <w:t xml:space="preserve">the </w:t>
      </w:r>
      <w:r w:rsidRPr="00E46CF3">
        <w:t xml:space="preserve">locations indicated on the </w:t>
      </w:r>
      <w:r w:rsidR="002C485A">
        <w:t>Plans</w:t>
      </w:r>
      <w:r w:rsidRPr="00E46CF3">
        <w:t xml:space="preserve">. </w:t>
      </w:r>
      <w:r w:rsidR="00A3608C" w:rsidRPr="00A3608C">
        <w:t>The area to be filled shall not have any standing water (including ice) in it prior to placement of the FGA</w:t>
      </w:r>
      <w:r w:rsidR="00A3608C">
        <w:t xml:space="preserve"> and </w:t>
      </w:r>
      <w:r w:rsidRPr="00E46CF3">
        <w:t xml:space="preserve">storm water </w:t>
      </w:r>
      <w:r w:rsidR="00073AD8">
        <w:t xml:space="preserve">shall be diverted away </w:t>
      </w:r>
      <w:r w:rsidRPr="00E46CF3">
        <w:t>from the installation area</w:t>
      </w:r>
      <w:r w:rsidR="00A3608C">
        <w:t xml:space="preserve"> during placement of FGA</w:t>
      </w:r>
      <w:r w:rsidRPr="00E46CF3">
        <w:t xml:space="preserve">. </w:t>
      </w:r>
      <w:r w:rsidR="00D96037">
        <w:t xml:space="preserve">The in-place compacted dry density shall not exceed 20 pounds per cubic foot. </w:t>
      </w:r>
    </w:p>
    <w:p w14:paraId="2236E6C3" w14:textId="1350EDDC" w:rsidR="00FE1C04" w:rsidRDefault="00EE75D5" w:rsidP="00676637">
      <w:pPr>
        <w:pStyle w:val="BodyText"/>
        <w:keepNext/>
        <w:keepLines/>
        <w:spacing w:before="240" w:after="240" w:line="276" w:lineRule="auto"/>
        <w:ind w:left="720"/>
        <w:jc w:val="both"/>
      </w:pPr>
      <w:r w:rsidRPr="00E46CF3">
        <w:t xml:space="preserve">FGA shall be placed in maximum uncompacted lift thicknesses of 24 inches and compaction shall be performed with a tracked excavator or </w:t>
      </w:r>
      <w:r w:rsidR="00EA30D1">
        <w:t>bull</w:t>
      </w:r>
      <w:r w:rsidRPr="00E46CF3">
        <w:t xml:space="preserve">dozer with </w:t>
      </w:r>
      <w:r w:rsidR="00073AD8">
        <w:t xml:space="preserve">a </w:t>
      </w:r>
      <w:r w:rsidRPr="00E46CF3">
        <w:t xml:space="preserve">ground pressure of 625 </w:t>
      </w:r>
      <w:r w:rsidR="00073AD8">
        <w:t>to</w:t>
      </w:r>
      <w:r w:rsidR="00073AD8" w:rsidRPr="00E46CF3">
        <w:t xml:space="preserve"> </w:t>
      </w:r>
      <w:r w:rsidRPr="00E46CF3">
        <w:t xml:space="preserve">1,025 </w:t>
      </w:r>
      <w:r w:rsidR="00073AD8">
        <w:t>pounds per square foot</w:t>
      </w:r>
      <w:r w:rsidRPr="00E46CF3">
        <w:t>.</w:t>
      </w:r>
      <w:r w:rsidR="007E7A0F" w:rsidRPr="00E46CF3">
        <w:t xml:space="preserve"> The Contractor shall decrease this lift thickness, if necessary, to obtain equal lifts of </w:t>
      </w:r>
      <w:r w:rsidR="00F25824" w:rsidRPr="00E46CF3">
        <w:t>FGA</w:t>
      </w:r>
      <w:r w:rsidR="007E7A0F" w:rsidRPr="00E46CF3">
        <w:t xml:space="preserve"> (for example, if there are 36 inches vertically between reinforcing, lifts </w:t>
      </w:r>
      <w:r w:rsidR="00AA5BF3" w:rsidRPr="00E46CF3">
        <w:t>sh</w:t>
      </w:r>
      <w:r w:rsidR="00AA5BF3">
        <w:t>all</w:t>
      </w:r>
      <w:r w:rsidR="00AA5BF3" w:rsidRPr="00E46CF3">
        <w:t xml:space="preserve"> </w:t>
      </w:r>
      <w:r w:rsidR="007E7A0F" w:rsidRPr="00E46CF3">
        <w:t>be 18 inches</w:t>
      </w:r>
      <w:r w:rsidR="00AA5BF3">
        <w:t xml:space="preserve"> think</w:t>
      </w:r>
      <w:r w:rsidR="007E7A0F" w:rsidRPr="00E46CF3">
        <w:t>).</w:t>
      </w:r>
      <w:r w:rsidRPr="00E46CF3">
        <w:t xml:space="preserve"> Placement and compaction with wheeled equipment, such as </w:t>
      </w:r>
      <w:r w:rsidR="00D8628A" w:rsidRPr="00E46CF3">
        <w:t>rubber-tired</w:t>
      </w:r>
      <w:r w:rsidR="00FE1C04">
        <w:t xml:space="preserve"> equipment</w:t>
      </w:r>
      <w:r w:rsidR="00FE1C04" w:rsidRPr="00E46CF3">
        <w:t xml:space="preserve"> </w:t>
      </w:r>
      <w:r w:rsidRPr="00E46CF3">
        <w:t xml:space="preserve">or steel rollers, </w:t>
      </w:r>
      <w:r w:rsidR="0019338F">
        <w:t>will</w:t>
      </w:r>
      <w:r w:rsidR="0019338F" w:rsidRPr="00E46CF3">
        <w:t xml:space="preserve"> </w:t>
      </w:r>
      <w:r w:rsidRPr="00E46CF3">
        <w:t>not</w:t>
      </w:r>
      <w:r w:rsidR="0019338F">
        <w:t xml:space="preserve"> be</w:t>
      </w:r>
      <w:r w:rsidRPr="00E46CF3">
        <w:t xml:space="preserve"> permitted. </w:t>
      </w:r>
    </w:p>
    <w:p w14:paraId="28F17879" w14:textId="77777777" w:rsidR="00D96037" w:rsidRDefault="00EE75D5" w:rsidP="00D96037">
      <w:pPr>
        <w:pStyle w:val="BodyText"/>
        <w:keepNext/>
        <w:keepLines/>
        <w:spacing w:before="240" w:after="240" w:line="276" w:lineRule="auto"/>
        <w:ind w:left="720"/>
        <w:jc w:val="both"/>
      </w:pPr>
      <w:r w:rsidRPr="00E46CF3">
        <w:t>Compaction using tracked equipment shall be completed by placing the initial lift thickness and then raising the blade or bucket and tracking over the layer. The placement of the first and second lift</w:t>
      </w:r>
      <w:r w:rsidR="00B202EB">
        <w:t>s</w:t>
      </w:r>
      <w:r w:rsidRPr="00E46CF3">
        <w:t xml:space="preserve"> of FGA shall be </w:t>
      </w:r>
      <w:r w:rsidR="00061076">
        <w:t>used</w:t>
      </w:r>
      <w:r w:rsidR="00061076" w:rsidRPr="00E46CF3">
        <w:t xml:space="preserve"> </w:t>
      </w:r>
      <w:r w:rsidRPr="00E46CF3">
        <w:t xml:space="preserve">to establish a project-specific installation methodology that will be used to achieve 20% </w:t>
      </w:r>
      <w:r w:rsidR="00F8223A">
        <w:t xml:space="preserve">vertical </w:t>
      </w:r>
      <w:r w:rsidRPr="00E46CF3">
        <w:t>compaction of a given lift</w:t>
      </w:r>
      <w:r w:rsidR="00D77E9E">
        <w:t xml:space="preserve"> thickness</w:t>
      </w:r>
      <w:r w:rsidRPr="00E46CF3">
        <w:t xml:space="preserve">. The project-specific installation methodology shall reflect the lift thickness and identify the pieces of construction </w:t>
      </w:r>
      <w:proofErr w:type="gramStart"/>
      <w:r w:rsidRPr="00E46CF3">
        <w:t>equipment</w:t>
      </w:r>
      <w:proofErr w:type="gramEnd"/>
      <w:r w:rsidRPr="00E46CF3">
        <w:t xml:space="preserve"> and the corresponding number of passes required. </w:t>
      </w:r>
    </w:p>
    <w:p w14:paraId="56193505" w14:textId="0B9331FD" w:rsidR="00EE75D5" w:rsidRPr="00E46CF3" w:rsidRDefault="00D96037" w:rsidP="00D96037">
      <w:pPr>
        <w:pStyle w:val="BodyText"/>
        <w:keepNext/>
        <w:keepLines/>
        <w:spacing w:before="240" w:after="240" w:line="276" w:lineRule="auto"/>
        <w:ind w:left="720"/>
        <w:jc w:val="both"/>
      </w:pPr>
      <w:r w:rsidRPr="00E46CF3">
        <w:t xml:space="preserve"> </w:t>
      </w:r>
      <w:r w:rsidR="006318E5" w:rsidRPr="00E46CF3">
        <w:t xml:space="preserve">Excessive compaction shall be avoided to minimize crushing of the aggregate. </w:t>
      </w:r>
      <w:r w:rsidR="00EE75D5" w:rsidRPr="00E46CF3">
        <w:t xml:space="preserve">Construction equipment, other than </w:t>
      </w:r>
      <w:r w:rsidR="00FA46F2">
        <w:t xml:space="preserve">that used </w:t>
      </w:r>
      <w:r w:rsidR="00EE75D5" w:rsidRPr="00E46CF3">
        <w:t xml:space="preserve">for placement and compaction, shall not operate over the </w:t>
      </w:r>
      <w:r w:rsidR="00073AD8">
        <w:t>FGA</w:t>
      </w:r>
      <w:r w:rsidR="00EE75D5" w:rsidRPr="00E46CF3">
        <w:t xml:space="preserve"> until 12 inches of cover material </w:t>
      </w:r>
      <w:r w:rsidR="00073AD8" w:rsidRPr="00E46CF3">
        <w:t>ha</w:t>
      </w:r>
      <w:r w:rsidR="00D8628A">
        <w:t>s</w:t>
      </w:r>
      <w:r w:rsidR="00073AD8" w:rsidRPr="00E46CF3">
        <w:t xml:space="preserve"> </w:t>
      </w:r>
      <w:r w:rsidR="00EE75D5" w:rsidRPr="00E46CF3">
        <w:t xml:space="preserve">been placed. </w:t>
      </w:r>
    </w:p>
    <w:p w14:paraId="2013D689" w14:textId="6A4F70C4" w:rsidR="00EE75D5" w:rsidRPr="00E46CF3" w:rsidRDefault="00EE75D5" w:rsidP="00676637">
      <w:pPr>
        <w:pStyle w:val="BodyText"/>
        <w:spacing w:before="240" w:after="240" w:line="276" w:lineRule="auto"/>
        <w:ind w:left="720" w:hanging="720"/>
        <w:jc w:val="both"/>
      </w:pPr>
      <w:bookmarkStart w:id="13" w:name="_Hlk73175361"/>
      <w:r w:rsidRPr="00E46CF3">
        <w:t>(c)</w:t>
      </w:r>
      <w:r w:rsidRPr="00E46CF3">
        <w:tab/>
      </w:r>
      <w:r w:rsidRPr="00E46CF3">
        <w:rPr>
          <w:u w:val="single"/>
        </w:rPr>
        <w:t xml:space="preserve">Compaction </w:t>
      </w:r>
      <w:r w:rsidR="000D0A00" w:rsidRPr="00E46CF3">
        <w:rPr>
          <w:u w:val="single"/>
        </w:rPr>
        <w:t>A</w:t>
      </w:r>
      <w:r w:rsidRPr="00E46CF3">
        <w:rPr>
          <w:u w:val="single"/>
        </w:rPr>
        <w:t xml:space="preserve">round </w:t>
      </w:r>
      <w:r w:rsidR="000D0A00" w:rsidRPr="00E46CF3">
        <w:rPr>
          <w:u w:val="single"/>
        </w:rPr>
        <w:t>S</w:t>
      </w:r>
      <w:r w:rsidRPr="00E46CF3">
        <w:rPr>
          <w:u w:val="single"/>
        </w:rPr>
        <w:t>tructures</w:t>
      </w:r>
      <w:r w:rsidRPr="00E46CF3">
        <w:t xml:space="preserve">. For areas not accessible </w:t>
      </w:r>
      <w:r w:rsidR="000D0A00">
        <w:t>to</w:t>
      </w:r>
      <w:r w:rsidR="000D0A00" w:rsidRPr="00E46CF3">
        <w:t xml:space="preserve"> </w:t>
      </w:r>
      <w:r w:rsidRPr="00E46CF3">
        <w:t>tracked equipment (e.g. around structures and utilities), FGA shall be placed in maximum uncompacted lifts of 12 inches and compacted with a plate compactor weighing 110</w:t>
      </w:r>
      <w:r w:rsidR="00E051CB">
        <w:t xml:space="preserve"> to </w:t>
      </w:r>
      <w:r w:rsidRPr="00E46CF3">
        <w:t xml:space="preserve">220 </w:t>
      </w:r>
      <w:r w:rsidR="00E051CB">
        <w:t>pounds</w:t>
      </w:r>
      <w:r w:rsidRPr="00E46CF3">
        <w:t xml:space="preserve">. Compaction shall be complete after verifying that 20% compaction of the original lift thickness has been achieved. </w:t>
      </w:r>
    </w:p>
    <w:bookmarkEnd w:id="13"/>
    <w:p w14:paraId="341A17D1" w14:textId="644D7ABA" w:rsidR="00EE75D5" w:rsidRPr="00E46CF3" w:rsidRDefault="00796A57" w:rsidP="00676637">
      <w:pPr>
        <w:pStyle w:val="BodyText"/>
        <w:spacing w:before="240" w:after="240" w:line="276" w:lineRule="auto"/>
        <w:ind w:left="720"/>
        <w:jc w:val="both"/>
      </w:pPr>
      <w:r>
        <w:t>G</w:t>
      </w:r>
      <w:r w:rsidR="00EE75D5" w:rsidRPr="00E46CF3">
        <w:t xml:space="preserve">eotextile shall be placed as a separator between the FGA and the surrounding soils, including between the subgrade and the initial lift of </w:t>
      </w:r>
      <w:r>
        <w:t>FGA</w:t>
      </w:r>
      <w:r w:rsidR="00EE75D5" w:rsidRPr="00E46CF3">
        <w:t xml:space="preserve">, the sides of the </w:t>
      </w:r>
      <w:r>
        <w:t>FGA</w:t>
      </w:r>
      <w:r w:rsidR="00EE75D5" w:rsidRPr="00E46CF3">
        <w:t xml:space="preserve"> fill area, and above the final lift as a separator between the </w:t>
      </w:r>
      <w:r>
        <w:t>FGA</w:t>
      </w:r>
      <w:r w:rsidR="00EE75D5" w:rsidRPr="00E46CF3">
        <w:t xml:space="preserve"> and </w:t>
      </w:r>
      <w:r w:rsidR="00E51790">
        <w:t xml:space="preserve">the </w:t>
      </w:r>
      <w:r w:rsidR="00EE75D5" w:rsidRPr="00E46CF3">
        <w:t xml:space="preserve">capping layer as shown on the </w:t>
      </w:r>
      <w:r>
        <w:t>P</w:t>
      </w:r>
      <w:r w:rsidRPr="00E46CF3">
        <w:t>lans</w:t>
      </w:r>
      <w:r w:rsidR="00EE75D5" w:rsidRPr="00E46CF3">
        <w:t xml:space="preserve">. Care </w:t>
      </w:r>
      <w:r w:rsidRPr="00E46CF3">
        <w:t>sh</w:t>
      </w:r>
      <w:r>
        <w:t>all</w:t>
      </w:r>
      <w:r w:rsidRPr="00E46CF3">
        <w:t xml:space="preserve"> </w:t>
      </w:r>
      <w:r w:rsidR="00EE75D5" w:rsidRPr="00E46CF3">
        <w:t xml:space="preserve">be taken during placement of </w:t>
      </w:r>
      <w:r>
        <w:t xml:space="preserve">the </w:t>
      </w:r>
      <w:r w:rsidR="00EE75D5" w:rsidRPr="00E46CF3">
        <w:t xml:space="preserve">capping layer to prevent damage to </w:t>
      </w:r>
      <w:r>
        <w:t xml:space="preserve">the </w:t>
      </w:r>
      <w:r w:rsidR="00EE75D5" w:rsidRPr="00E46CF3">
        <w:t xml:space="preserve">geotextile. Adjacent panels </w:t>
      </w:r>
      <w:r w:rsidR="00EE75D5" w:rsidRPr="00E46CF3">
        <w:lastRenderedPageBreak/>
        <w:t xml:space="preserve">of geotextile may be sewn together or overlapped a minimum of 12 inches. The geotextile shall not be left exposed for </w:t>
      </w:r>
      <w:r w:rsidR="00866BAA">
        <w:t>more</w:t>
      </w:r>
      <w:r w:rsidR="00866BAA" w:rsidRPr="00E46CF3">
        <w:t xml:space="preserve"> </w:t>
      </w:r>
      <w:r w:rsidR="00EE75D5" w:rsidRPr="00E46CF3">
        <w:t xml:space="preserve">than 14 days. </w:t>
      </w:r>
    </w:p>
    <w:p w14:paraId="7E885FF1" w14:textId="413893E6" w:rsidR="00EE75D5" w:rsidRPr="00E46CF3" w:rsidRDefault="00EE75D5" w:rsidP="00D551B9">
      <w:pPr>
        <w:tabs>
          <w:tab w:val="left" w:pos="819"/>
          <w:tab w:val="left" w:pos="820"/>
        </w:tabs>
        <w:spacing w:before="240" w:after="240" w:line="276" w:lineRule="auto"/>
        <w:jc w:val="both"/>
        <w:rPr>
          <w:sz w:val="24"/>
          <w:szCs w:val="24"/>
        </w:rPr>
      </w:pPr>
      <w:r w:rsidRPr="00E46CF3">
        <w:rPr>
          <w:sz w:val="24"/>
          <w:szCs w:val="24"/>
          <w:u w:val="single"/>
        </w:rPr>
        <w:t>227-0001.</w:t>
      </w:r>
      <w:r w:rsidR="00964425" w:rsidRPr="00E46CF3">
        <w:rPr>
          <w:sz w:val="24"/>
          <w:szCs w:val="24"/>
          <w:u w:val="single"/>
        </w:rPr>
        <w:t>04</w:t>
      </w:r>
      <w:r w:rsidR="00964425">
        <w:rPr>
          <w:sz w:val="24"/>
          <w:szCs w:val="24"/>
          <w:u w:val="single"/>
        </w:rPr>
        <w:t>  </w:t>
      </w:r>
      <w:r w:rsidRPr="00E46CF3">
        <w:rPr>
          <w:sz w:val="24"/>
          <w:szCs w:val="24"/>
          <w:u w:val="single"/>
        </w:rPr>
        <w:t>SUBMITTALS</w:t>
      </w:r>
      <w:r w:rsidRPr="00E46CF3">
        <w:rPr>
          <w:sz w:val="24"/>
          <w:szCs w:val="24"/>
        </w:rPr>
        <w:t xml:space="preserve">. Submittals shall be in accordance with </w:t>
      </w:r>
      <w:r w:rsidRPr="00D8628A">
        <w:rPr>
          <w:sz w:val="24"/>
          <w:szCs w:val="24"/>
          <w:u w:val="single"/>
        </w:rPr>
        <w:t>Section 227</w:t>
      </w:r>
      <w:r w:rsidRPr="00E46CF3">
        <w:rPr>
          <w:sz w:val="24"/>
          <w:szCs w:val="24"/>
        </w:rPr>
        <w:t xml:space="preserve"> and the following</w:t>
      </w:r>
      <w:r w:rsidR="000C5CC1">
        <w:rPr>
          <w:sz w:val="24"/>
          <w:szCs w:val="24"/>
        </w:rPr>
        <w:t xml:space="preserve">. </w:t>
      </w:r>
      <w:r w:rsidRPr="00E46CF3">
        <w:rPr>
          <w:sz w:val="24"/>
          <w:szCs w:val="24"/>
        </w:rPr>
        <w:t>Submittals for foamed glass aggregate shall include:</w:t>
      </w:r>
    </w:p>
    <w:p w14:paraId="7CE4CD2B" w14:textId="5B71625D" w:rsidR="00EE75D5" w:rsidRPr="00E46CF3" w:rsidRDefault="00EE75D5" w:rsidP="00D8628A">
      <w:pPr>
        <w:pStyle w:val="BodyText"/>
        <w:spacing w:before="240" w:after="240" w:line="276" w:lineRule="auto"/>
        <w:ind w:left="720" w:hanging="720"/>
        <w:jc w:val="both"/>
      </w:pPr>
      <w:r w:rsidRPr="00E46CF3">
        <w:t>(</w:t>
      </w:r>
      <w:r w:rsidR="000C5CC1">
        <w:t>a</w:t>
      </w:r>
      <w:r w:rsidRPr="00E46CF3">
        <w:t>)</w:t>
      </w:r>
      <w:r w:rsidRPr="00E46CF3">
        <w:tab/>
      </w:r>
      <w:r w:rsidRPr="00E46CF3">
        <w:rPr>
          <w:u w:val="single"/>
        </w:rPr>
        <w:t>Quality Control Data</w:t>
      </w:r>
      <w:r w:rsidRPr="00E46CF3">
        <w:t xml:space="preserve">. </w:t>
      </w:r>
      <w:r w:rsidR="005D39EF">
        <w:t>At least 14 calendar days</w:t>
      </w:r>
      <w:r w:rsidRPr="00E46CF3">
        <w:t xml:space="preserve"> prior to material delivery to the project site, the Contractor shall provide the Engineer with a written certification or manufacturer’s quality control data which </w:t>
      </w:r>
      <w:r w:rsidR="00573E99">
        <w:t>verifies</w:t>
      </w:r>
      <w:r w:rsidR="00573E99" w:rsidRPr="00E46CF3">
        <w:t xml:space="preserve"> </w:t>
      </w:r>
      <w:r w:rsidRPr="00E46CF3">
        <w:t xml:space="preserve">that the products meet or exceed the values specified herein. </w:t>
      </w:r>
    </w:p>
    <w:p w14:paraId="709FF755" w14:textId="737EB8D0" w:rsidR="00EE75D5" w:rsidRPr="00E46CF3" w:rsidRDefault="00EE75D5" w:rsidP="00D8628A">
      <w:pPr>
        <w:pStyle w:val="BodyText"/>
        <w:spacing w:before="240" w:after="240" w:line="276" w:lineRule="auto"/>
        <w:ind w:left="720" w:hanging="720"/>
        <w:jc w:val="both"/>
      </w:pPr>
      <w:r w:rsidRPr="00E46CF3">
        <w:t>(</w:t>
      </w:r>
      <w:r w:rsidR="000C5CC1">
        <w:t>b</w:t>
      </w:r>
      <w:r w:rsidRPr="00E46CF3">
        <w:t>)</w:t>
      </w:r>
      <w:r w:rsidRPr="00E46CF3">
        <w:tab/>
      </w:r>
      <w:r w:rsidRPr="00E46CF3">
        <w:rPr>
          <w:u w:val="single"/>
        </w:rPr>
        <w:t>Product Volume Availability</w:t>
      </w:r>
      <w:r w:rsidRPr="00E46CF3">
        <w:t xml:space="preserve">. </w:t>
      </w:r>
      <w:r w:rsidR="005D39EF">
        <w:t>At least 14 calendar days</w:t>
      </w:r>
      <w:r w:rsidRPr="00E46CF3">
        <w:t xml:space="preserve"> prior to material delivery to the project site, the Contractor shall provide the Engineer with documentation that the </w:t>
      </w:r>
      <w:r w:rsidR="005D39EF" w:rsidRPr="00E46CF3">
        <w:t>m</w:t>
      </w:r>
      <w:r w:rsidRPr="00E46CF3">
        <w:t xml:space="preserve">anufacturer has </w:t>
      </w:r>
      <w:r w:rsidR="009B2B37">
        <w:t>the entire volume</w:t>
      </w:r>
      <w:r w:rsidRPr="00E46CF3">
        <w:t xml:space="preserve"> of product meeting the requirements of this specification on hand and available for the Contractor’s use (installation or stockpiling) at the project site. </w:t>
      </w:r>
    </w:p>
    <w:p w14:paraId="43E07CE0" w14:textId="505A5856" w:rsidR="00EE75D5" w:rsidRPr="00E46CF3" w:rsidRDefault="00EE75D5" w:rsidP="00D8628A">
      <w:pPr>
        <w:pStyle w:val="BodyText"/>
        <w:spacing w:before="240" w:after="240" w:line="276" w:lineRule="auto"/>
        <w:ind w:left="720" w:hanging="720"/>
        <w:jc w:val="both"/>
      </w:pPr>
      <w:r w:rsidRPr="00E46CF3">
        <w:t>(</w:t>
      </w:r>
      <w:r w:rsidR="000C5CC1">
        <w:t>c</w:t>
      </w:r>
      <w:r w:rsidRPr="00E46CF3">
        <w:t>)</w:t>
      </w:r>
      <w:r w:rsidRPr="00E46CF3">
        <w:tab/>
      </w:r>
      <w:r w:rsidRPr="00E46CF3">
        <w:rPr>
          <w:u w:val="single"/>
        </w:rPr>
        <w:t>Product Sample</w:t>
      </w:r>
      <w:r w:rsidRPr="00E46CF3">
        <w:t xml:space="preserve">. The Contractor shall provide a sample of the products described herein at the request of the Engineer. </w:t>
      </w:r>
    </w:p>
    <w:p w14:paraId="1623871A" w14:textId="0911F2C8" w:rsidR="00EE75D5" w:rsidRPr="00E46CF3" w:rsidRDefault="00EE75D5" w:rsidP="00D8628A">
      <w:pPr>
        <w:pStyle w:val="BodyText"/>
        <w:spacing w:before="240" w:after="240" w:line="276" w:lineRule="auto"/>
        <w:ind w:left="720" w:hanging="720"/>
        <w:jc w:val="both"/>
      </w:pPr>
      <w:r w:rsidRPr="00E46CF3">
        <w:t>(</w:t>
      </w:r>
      <w:r w:rsidR="000C5CC1">
        <w:t>d</w:t>
      </w:r>
      <w:r w:rsidRPr="00E46CF3">
        <w:t>)</w:t>
      </w:r>
      <w:r w:rsidRPr="00E46CF3">
        <w:tab/>
      </w:r>
      <w:r w:rsidRPr="00E46CF3">
        <w:rPr>
          <w:u w:val="single"/>
        </w:rPr>
        <w:t>Proposed Installation Equipment</w:t>
      </w:r>
      <w:r w:rsidRPr="00E46CF3">
        <w:t xml:space="preserve">. </w:t>
      </w:r>
      <w:r w:rsidR="000D0A00">
        <w:t>At least 14 calendar days</w:t>
      </w:r>
      <w:r w:rsidRPr="00E46CF3">
        <w:t xml:space="preserve"> prior to FGA installation, the Contractor shall provide the Engineer </w:t>
      </w:r>
      <w:r w:rsidR="000D0A00">
        <w:t>with</w:t>
      </w:r>
      <w:r w:rsidRPr="00E46CF3">
        <w:t xml:space="preserve"> cut sheets for the equipment the Contractor will be using for FGA placement and compaction. </w:t>
      </w:r>
    </w:p>
    <w:p w14:paraId="2DE6323E" w14:textId="15B0D7F0" w:rsidR="00AA6E84" w:rsidRPr="00E46CF3" w:rsidRDefault="007E7A0F" w:rsidP="00D8628A">
      <w:pPr>
        <w:tabs>
          <w:tab w:val="left" w:pos="880"/>
        </w:tabs>
        <w:spacing w:before="240" w:after="240" w:line="276" w:lineRule="auto"/>
        <w:jc w:val="both"/>
        <w:rPr>
          <w:sz w:val="24"/>
          <w:szCs w:val="24"/>
        </w:rPr>
      </w:pPr>
      <w:r w:rsidRPr="00E46CF3">
        <w:rPr>
          <w:sz w:val="24"/>
          <w:szCs w:val="24"/>
          <w:u w:val="single"/>
        </w:rPr>
        <w:t>227-0001.</w:t>
      </w:r>
      <w:r w:rsidR="00E51790" w:rsidRPr="00E46CF3">
        <w:rPr>
          <w:sz w:val="24"/>
          <w:szCs w:val="24"/>
          <w:u w:val="single"/>
        </w:rPr>
        <w:t>05</w:t>
      </w:r>
      <w:r w:rsidR="00E51790">
        <w:rPr>
          <w:sz w:val="24"/>
          <w:szCs w:val="24"/>
          <w:u w:val="single"/>
        </w:rPr>
        <w:t>  </w:t>
      </w:r>
      <w:r w:rsidR="00E51790" w:rsidRPr="00E46CF3">
        <w:rPr>
          <w:sz w:val="24"/>
          <w:szCs w:val="24"/>
          <w:u w:val="single"/>
        </w:rPr>
        <w:t>METHOD</w:t>
      </w:r>
      <w:r w:rsidR="00E51790">
        <w:rPr>
          <w:sz w:val="24"/>
          <w:szCs w:val="24"/>
          <w:u w:val="single"/>
        </w:rPr>
        <w:t> </w:t>
      </w:r>
      <w:r w:rsidR="00E51790" w:rsidRPr="00E46CF3">
        <w:rPr>
          <w:sz w:val="24"/>
          <w:szCs w:val="24"/>
          <w:u w:val="single"/>
        </w:rPr>
        <w:t>OF</w:t>
      </w:r>
      <w:r w:rsidR="00E51790">
        <w:rPr>
          <w:sz w:val="24"/>
          <w:szCs w:val="24"/>
          <w:u w:val="single"/>
        </w:rPr>
        <w:t> </w:t>
      </w:r>
      <w:r w:rsidRPr="00E46CF3">
        <w:rPr>
          <w:sz w:val="24"/>
          <w:szCs w:val="24"/>
          <w:u w:val="single"/>
        </w:rPr>
        <w:t>MEASUREMENT</w:t>
      </w:r>
      <w:r w:rsidRPr="00E46CF3">
        <w:rPr>
          <w:sz w:val="24"/>
          <w:szCs w:val="24"/>
        </w:rPr>
        <w:t>. The quantity of Retaining Wall, Mechanically Stabilized Earth</w:t>
      </w:r>
      <w:proofErr w:type="gramStart"/>
      <w:r w:rsidR="00F25F41">
        <w:rPr>
          <w:sz w:val="24"/>
          <w:szCs w:val="24"/>
        </w:rPr>
        <w:t xml:space="preserve">, </w:t>
      </w:r>
      <w:r w:rsidRPr="00E46CF3">
        <w:rPr>
          <w:sz w:val="24"/>
          <w:szCs w:val="24"/>
        </w:rPr>
        <w:t>FGA</w:t>
      </w:r>
      <w:proofErr w:type="gramEnd"/>
      <w:r w:rsidR="00F25F41">
        <w:rPr>
          <w:sz w:val="24"/>
          <w:szCs w:val="24"/>
        </w:rPr>
        <w:t xml:space="preserve"> </w:t>
      </w:r>
      <w:r w:rsidRPr="00E46CF3">
        <w:rPr>
          <w:sz w:val="24"/>
          <w:szCs w:val="24"/>
        </w:rPr>
        <w:t>to be measured for payment will be on a lump sum basis in the complete and accepted</w:t>
      </w:r>
      <w:r w:rsidRPr="00E46CF3">
        <w:rPr>
          <w:spacing w:val="-8"/>
          <w:sz w:val="24"/>
          <w:szCs w:val="24"/>
        </w:rPr>
        <w:t xml:space="preserve"> </w:t>
      </w:r>
      <w:r w:rsidRPr="00E46CF3">
        <w:rPr>
          <w:sz w:val="24"/>
          <w:szCs w:val="24"/>
        </w:rPr>
        <w:t>work.</w:t>
      </w:r>
    </w:p>
    <w:p w14:paraId="024B23D2" w14:textId="34ED1B60" w:rsidR="00AA6E84" w:rsidRPr="00E46CF3" w:rsidRDefault="007E7A0F" w:rsidP="00D8628A">
      <w:pPr>
        <w:tabs>
          <w:tab w:val="left" w:pos="880"/>
        </w:tabs>
        <w:spacing w:before="240" w:after="240" w:line="276" w:lineRule="auto"/>
        <w:jc w:val="both"/>
        <w:rPr>
          <w:sz w:val="24"/>
          <w:szCs w:val="24"/>
        </w:rPr>
      </w:pPr>
      <w:r w:rsidRPr="00E46CF3">
        <w:rPr>
          <w:sz w:val="24"/>
          <w:szCs w:val="24"/>
          <w:u w:val="single"/>
        </w:rPr>
        <w:t>227-0001.</w:t>
      </w:r>
      <w:r w:rsidR="00E51790" w:rsidRPr="00E46CF3">
        <w:rPr>
          <w:sz w:val="24"/>
          <w:szCs w:val="24"/>
          <w:u w:val="single"/>
        </w:rPr>
        <w:t>06</w:t>
      </w:r>
      <w:r w:rsidR="00E51790">
        <w:rPr>
          <w:sz w:val="24"/>
          <w:szCs w:val="24"/>
          <w:u w:val="single"/>
        </w:rPr>
        <w:t>  </w:t>
      </w:r>
      <w:r w:rsidR="00E51790" w:rsidRPr="00E46CF3">
        <w:rPr>
          <w:sz w:val="24"/>
          <w:szCs w:val="24"/>
          <w:u w:val="single"/>
        </w:rPr>
        <w:t>BASIS</w:t>
      </w:r>
      <w:r w:rsidR="00E51790">
        <w:rPr>
          <w:sz w:val="24"/>
          <w:szCs w:val="24"/>
          <w:u w:val="single"/>
        </w:rPr>
        <w:t> </w:t>
      </w:r>
      <w:r w:rsidR="00E51790" w:rsidRPr="00E46CF3">
        <w:rPr>
          <w:sz w:val="24"/>
          <w:szCs w:val="24"/>
          <w:u w:val="single"/>
        </w:rPr>
        <w:t>OF</w:t>
      </w:r>
      <w:r w:rsidR="00E51790">
        <w:rPr>
          <w:sz w:val="24"/>
          <w:szCs w:val="24"/>
          <w:u w:val="single"/>
        </w:rPr>
        <w:t> </w:t>
      </w:r>
      <w:r w:rsidRPr="00E46CF3">
        <w:rPr>
          <w:sz w:val="24"/>
          <w:szCs w:val="24"/>
          <w:u w:val="single"/>
        </w:rPr>
        <w:t>PAYMENT</w:t>
      </w:r>
      <w:r w:rsidRPr="00E46CF3">
        <w:rPr>
          <w:sz w:val="24"/>
          <w:szCs w:val="24"/>
        </w:rPr>
        <w:t>. The accepted quantity of Retaining Wall, Mechanically Stabilized</w:t>
      </w:r>
      <w:r w:rsidRPr="00E46CF3">
        <w:rPr>
          <w:spacing w:val="-22"/>
          <w:sz w:val="24"/>
          <w:szCs w:val="24"/>
        </w:rPr>
        <w:t xml:space="preserve"> </w:t>
      </w:r>
      <w:r w:rsidRPr="00E46CF3">
        <w:rPr>
          <w:sz w:val="24"/>
          <w:szCs w:val="24"/>
        </w:rPr>
        <w:t>Earth</w:t>
      </w:r>
      <w:r w:rsidR="00F25F41">
        <w:rPr>
          <w:sz w:val="24"/>
          <w:szCs w:val="24"/>
        </w:rPr>
        <w:t xml:space="preserve">, </w:t>
      </w:r>
      <w:r w:rsidRPr="00E46CF3">
        <w:rPr>
          <w:sz w:val="24"/>
          <w:szCs w:val="24"/>
        </w:rPr>
        <w:t xml:space="preserve">FGA will be paid for at the Contract lump sum price. Payment </w:t>
      </w:r>
      <w:r w:rsidR="007142B7">
        <w:rPr>
          <w:sz w:val="24"/>
          <w:szCs w:val="24"/>
        </w:rPr>
        <w:t>will be</w:t>
      </w:r>
      <w:r w:rsidRPr="00E46CF3">
        <w:rPr>
          <w:sz w:val="24"/>
          <w:szCs w:val="24"/>
        </w:rPr>
        <w:t xml:space="preserve"> full compensation for designing, detailing, fabricating, furnishing, transporting, erecting, and baseline monitoring the mechanically stabilized earth retaining wall system; for preparing all required submittals; for supervision by the manufacturer’s</w:t>
      </w:r>
      <w:r w:rsidRPr="00E46CF3">
        <w:rPr>
          <w:spacing w:val="-11"/>
          <w:sz w:val="24"/>
          <w:szCs w:val="24"/>
        </w:rPr>
        <w:t xml:space="preserve"> </w:t>
      </w:r>
      <w:r w:rsidRPr="00E46CF3">
        <w:rPr>
          <w:sz w:val="24"/>
          <w:szCs w:val="24"/>
        </w:rPr>
        <w:t>representative;</w:t>
      </w:r>
      <w:r w:rsidRPr="00E46CF3">
        <w:rPr>
          <w:spacing w:val="-11"/>
          <w:sz w:val="24"/>
          <w:szCs w:val="24"/>
        </w:rPr>
        <w:t xml:space="preserve"> </w:t>
      </w:r>
      <w:r w:rsidRPr="00E46CF3">
        <w:rPr>
          <w:sz w:val="24"/>
          <w:szCs w:val="24"/>
        </w:rPr>
        <w:t>for</w:t>
      </w:r>
      <w:r w:rsidRPr="00E46CF3">
        <w:rPr>
          <w:spacing w:val="-9"/>
          <w:sz w:val="24"/>
          <w:szCs w:val="24"/>
        </w:rPr>
        <w:t xml:space="preserve"> </w:t>
      </w:r>
      <w:r w:rsidRPr="00E46CF3">
        <w:rPr>
          <w:sz w:val="24"/>
          <w:szCs w:val="24"/>
        </w:rPr>
        <w:t>materials</w:t>
      </w:r>
      <w:r w:rsidRPr="00E46CF3">
        <w:rPr>
          <w:spacing w:val="-10"/>
          <w:sz w:val="24"/>
          <w:szCs w:val="24"/>
        </w:rPr>
        <w:t xml:space="preserve"> </w:t>
      </w:r>
      <w:r w:rsidRPr="00E46CF3">
        <w:rPr>
          <w:sz w:val="24"/>
          <w:szCs w:val="24"/>
        </w:rPr>
        <w:t>required,</w:t>
      </w:r>
      <w:r w:rsidRPr="00E46CF3">
        <w:rPr>
          <w:spacing w:val="-11"/>
          <w:sz w:val="24"/>
          <w:szCs w:val="24"/>
        </w:rPr>
        <w:t xml:space="preserve"> </w:t>
      </w:r>
      <w:r w:rsidRPr="00E46CF3">
        <w:rPr>
          <w:sz w:val="24"/>
          <w:szCs w:val="24"/>
        </w:rPr>
        <w:t>including</w:t>
      </w:r>
      <w:r w:rsidRPr="00E46CF3">
        <w:rPr>
          <w:spacing w:val="-11"/>
          <w:sz w:val="24"/>
          <w:szCs w:val="24"/>
        </w:rPr>
        <w:t xml:space="preserve"> </w:t>
      </w:r>
      <w:r w:rsidRPr="00E46CF3">
        <w:rPr>
          <w:sz w:val="24"/>
          <w:szCs w:val="24"/>
        </w:rPr>
        <w:t>but</w:t>
      </w:r>
      <w:r w:rsidRPr="00E46CF3">
        <w:rPr>
          <w:spacing w:val="-10"/>
          <w:sz w:val="24"/>
          <w:szCs w:val="24"/>
        </w:rPr>
        <w:t xml:space="preserve"> </w:t>
      </w:r>
      <w:r w:rsidRPr="00E46CF3">
        <w:rPr>
          <w:sz w:val="24"/>
          <w:szCs w:val="24"/>
        </w:rPr>
        <w:t>not</w:t>
      </w:r>
      <w:r w:rsidRPr="00E46CF3">
        <w:rPr>
          <w:spacing w:val="-11"/>
          <w:sz w:val="24"/>
          <w:szCs w:val="24"/>
        </w:rPr>
        <w:t xml:space="preserve"> </w:t>
      </w:r>
      <w:r w:rsidRPr="00E46CF3">
        <w:rPr>
          <w:sz w:val="24"/>
          <w:szCs w:val="24"/>
        </w:rPr>
        <w:t>limited</w:t>
      </w:r>
      <w:r w:rsidRPr="00E46CF3">
        <w:rPr>
          <w:spacing w:val="-11"/>
          <w:sz w:val="24"/>
          <w:szCs w:val="24"/>
        </w:rPr>
        <w:t xml:space="preserve"> </w:t>
      </w:r>
      <w:r w:rsidRPr="00E46CF3">
        <w:rPr>
          <w:sz w:val="24"/>
          <w:szCs w:val="24"/>
        </w:rPr>
        <w:t>to,</w:t>
      </w:r>
      <w:r w:rsidRPr="00E46CF3">
        <w:rPr>
          <w:spacing w:val="-10"/>
          <w:sz w:val="24"/>
          <w:szCs w:val="24"/>
        </w:rPr>
        <w:t xml:space="preserve"> </w:t>
      </w:r>
      <w:r w:rsidRPr="00E46CF3">
        <w:rPr>
          <w:sz w:val="24"/>
          <w:szCs w:val="24"/>
        </w:rPr>
        <w:t>foamed glass aggregate, PVC</w:t>
      </w:r>
      <w:r w:rsidRPr="00E46CF3">
        <w:rPr>
          <w:spacing w:val="-6"/>
          <w:sz w:val="24"/>
          <w:szCs w:val="24"/>
        </w:rPr>
        <w:t xml:space="preserve"> </w:t>
      </w:r>
      <w:r w:rsidRPr="00E46CF3">
        <w:rPr>
          <w:sz w:val="24"/>
          <w:szCs w:val="24"/>
        </w:rPr>
        <w:t>pipe,</w:t>
      </w:r>
      <w:r w:rsidRPr="00E46CF3">
        <w:rPr>
          <w:spacing w:val="-4"/>
          <w:sz w:val="24"/>
          <w:szCs w:val="24"/>
        </w:rPr>
        <w:t xml:space="preserve"> </w:t>
      </w:r>
      <w:r w:rsidRPr="00E46CF3">
        <w:rPr>
          <w:sz w:val="24"/>
          <w:szCs w:val="24"/>
        </w:rPr>
        <w:t>drainage</w:t>
      </w:r>
      <w:r w:rsidRPr="00E46CF3">
        <w:rPr>
          <w:spacing w:val="-5"/>
          <w:sz w:val="24"/>
          <w:szCs w:val="24"/>
        </w:rPr>
        <w:t xml:space="preserve"> </w:t>
      </w:r>
      <w:r w:rsidRPr="00E46CF3">
        <w:rPr>
          <w:sz w:val="24"/>
          <w:szCs w:val="24"/>
        </w:rPr>
        <w:t>aggregate,</w:t>
      </w:r>
      <w:r w:rsidRPr="00E46CF3">
        <w:rPr>
          <w:spacing w:val="-6"/>
          <w:sz w:val="24"/>
          <w:szCs w:val="24"/>
        </w:rPr>
        <w:t xml:space="preserve"> </w:t>
      </w:r>
      <w:r w:rsidRPr="00E46CF3">
        <w:rPr>
          <w:sz w:val="24"/>
          <w:szCs w:val="24"/>
        </w:rPr>
        <w:t>filter</w:t>
      </w:r>
      <w:r w:rsidRPr="00E46CF3">
        <w:rPr>
          <w:spacing w:val="-6"/>
          <w:sz w:val="24"/>
          <w:szCs w:val="24"/>
        </w:rPr>
        <w:t xml:space="preserve"> </w:t>
      </w:r>
      <w:r w:rsidRPr="00E46CF3">
        <w:rPr>
          <w:sz w:val="24"/>
          <w:szCs w:val="24"/>
        </w:rPr>
        <w:t>fabric,</w:t>
      </w:r>
      <w:r w:rsidRPr="00E46CF3">
        <w:rPr>
          <w:spacing w:val="-6"/>
          <w:sz w:val="24"/>
          <w:szCs w:val="24"/>
        </w:rPr>
        <w:t xml:space="preserve"> </w:t>
      </w:r>
      <w:r w:rsidRPr="00E46CF3">
        <w:rPr>
          <w:sz w:val="24"/>
          <w:szCs w:val="24"/>
        </w:rPr>
        <w:t>adhesive,</w:t>
      </w:r>
      <w:r w:rsidRPr="00E46CF3">
        <w:rPr>
          <w:spacing w:val="-5"/>
          <w:sz w:val="24"/>
          <w:szCs w:val="24"/>
        </w:rPr>
        <w:t xml:space="preserve"> </w:t>
      </w:r>
      <w:r w:rsidRPr="00E46CF3">
        <w:rPr>
          <w:sz w:val="24"/>
          <w:szCs w:val="24"/>
        </w:rPr>
        <w:t>underdrain</w:t>
      </w:r>
      <w:r w:rsidRPr="00E46CF3">
        <w:rPr>
          <w:spacing w:val="-5"/>
          <w:sz w:val="24"/>
          <w:szCs w:val="24"/>
        </w:rPr>
        <w:t xml:space="preserve"> </w:t>
      </w:r>
      <w:r w:rsidRPr="00E46CF3">
        <w:rPr>
          <w:sz w:val="24"/>
          <w:szCs w:val="24"/>
        </w:rPr>
        <w:t>pipe,</w:t>
      </w:r>
      <w:r w:rsidRPr="00E46CF3">
        <w:rPr>
          <w:spacing w:val="-5"/>
          <w:sz w:val="24"/>
          <w:szCs w:val="24"/>
        </w:rPr>
        <w:t xml:space="preserve"> </w:t>
      </w:r>
      <w:r w:rsidRPr="00E46CF3">
        <w:rPr>
          <w:sz w:val="24"/>
          <w:szCs w:val="24"/>
        </w:rPr>
        <w:t>concrete</w:t>
      </w:r>
      <w:r w:rsidRPr="00E46CF3">
        <w:rPr>
          <w:spacing w:val="-5"/>
          <w:sz w:val="24"/>
          <w:szCs w:val="24"/>
        </w:rPr>
        <w:t xml:space="preserve"> </w:t>
      </w:r>
      <w:r w:rsidRPr="00E46CF3">
        <w:rPr>
          <w:sz w:val="24"/>
          <w:szCs w:val="24"/>
        </w:rPr>
        <w:t>facing</w:t>
      </w:r>
      <w:r w:rsidRPr="00E46CF3">
        <w:rPr>
          <w:spacing w:val="-5"/>
          <w:sz w:val="24"/>
          <w:szCs w:val="24"/>
        </w:rPr>
        <w:t xml:space="preserve"> </w:t>
      </w:r>
      <w:r w:rsidRPr="00E46CF3">
        <w:rPr>
          <w:sz w:val="24"/>
          <w:szCs w:val="24"/>
        </w:rPr>
        <w:t>panels,</w:t>
      </w:r>
      <w:r w:rsidRPr="00E46CF3">
        <w:rPr>
          <w:spacing w:val="-6"/>
          <w:sz w:val="24"/>
          <w:szCs w:val="24"/>
        </w:rPr>
        <w:t xml:space="preserve"> </w:t>
      </w:r>
      <w:r w:rsidRPr="00E46CF3">
        <w:rPr>
          <w:sz w:val="24"/>
          <w:szCs w:val="24"/>
        </w:rPr>
        <w:t>reinforcing steel, concrete coping, soil reinforcements, attachment devices, fasteners, bearing blocks, shims, joint materials,</w:t>
      </w:r>
      <w:r w:rsidRPr="00E46CF3">
        <w:rPr>
          <w:spacing w:val="-14"/>
          <w:sz w:val="24"/>
          <w:szCs w:val="24"/>
        </w:rPr>
        <w:t xml:space="preserve"> </w:t>
      </w:r>
      <w:r w:rsidRPr="00E46CF3">
        <w:rPr>
          <w:sz w:val="24"/>
          <w:szCs w:val="24"/>
        </w:rPr>
        <w:t>geomembrane,</w:t>
      </w:r>
      <w:r w:rsidRPr="00E46CF3">
        <w:rPr>
          <w:spacing w:val="-16"/>
          <w:sz w:val="24"/>
          <w:szCs w:val="24"/>
        </w:rPr>
        <w:t xml:space="preserve"> </w:t>
      </w:r>
      <w:r w:rsidRPr="00E46CF3">
        <w:rPr>
          <w:sz w:val="24"/>
          <w:szCs w:val="24"/>
        </w:rPr>
        <w:t>and</w:t>
      </w:r>
      <w:r w:rsidRPr="00E46CF3">
        <w:rPr>
          <w:spacing w:val="-14"/>
          <w:sz w:val="24"/>
          <w:szCs w:val="24"/>
        </w:rPr>
        <w:t xml:space="preserve"> </w:t>
      </w:r>
      <w:r w:rsidRPr="00E46CF3">
        <w:rPr>
          <w:sz w:val="24"/>
          <w:szCs w:val="24"/>
        </w:rPr>
        <w:t>geotextiles;</w:t>
      </w:r>
      <w:r w:rsidRPr="00E46CF3">
        <w:rPr>
          <w:spacing w:val="-15"/>
          <w:sz w:val="24"/>
          <w:szCs w:val="24"/>
        </w:rPr>
        <w:t xml:space="preserve"> </w:t>
      </w:r>
      <w:r w:rsidRPr="00E46CF3">
        <w:rPr>
          <w:sz w:val="24"/>
          <w:szCs w:val="24"/>
        </w:rPr>
        <w:t>for</w:t>
      </w:r>
      <w:r w:rsidRPr="00E46CF3">
        <w:rPr>
          <w:spacing w:val="-14"/>
          <w:sz w:val="24"/>
          <w:szCs w:val="24"/>
        </w:rPr>
        <w:t xml:space="preserve"> </w:t>
      </w:r>
      <w:r w:rsidRPr="00E46CF3">
        <w:rPr>
          <w:sz w:val="24"/>
          <w:szCs w:val="24"/>
        </w:rPr>
        <w:t>preparing</w:t>
      </w:r>
      <w:r w:rsidRPr="00E46CF3">
        <w:rPr>
          <w:spacing w:val="-14"/>
          <w:sz w:val="24"/>
          <w:szCs w:val="24"/>
        </w:rPr>
        <w:t xml:space="preserve"> </w:t>
      </w:r>
      <w:r w:rsidRPr="00E46CF3">
        <w:rPr>
          <w:sz w:val="24"/>
          <w:szCs w:val="24"/>
        </w:rPr>
        <w:t>the</w:t>
      </w:r>
      <w:r w:rsidRPr="00E46CF3">
        <w:rPr>
          <w:spacing w:val="-14"/>
          <w:sz w:val="24"/>
          <w:szCs w:val="24"/>
        </w:rPr>
        <w:t xml:space="preserve"> </w:t>
      </w:r>
      <w:r w:rsidRPr="00E46CF3">
        <w:rPr>
          <w:sz w:val="24"/>
          <w:szCs w:val="24"/>
        </w:rPr>
        <w:t>wall</w:t>
      </w:r>
      <w:r w:rsidRPr="00E46CF3">
        <w:rPr>
          <w:spacing w:val="-14"/>
          <w:sz w:val="24"/>
          <w:szCs w:val="24"/>
        </w:rPr>
        <w:t xml:space="preserve"> </w:t>
      </w:r>
      <w:r w:rsidRPr="00E46CF3">
        <w:rPr>
          <w:sz w:val="24"/>
          <w:szCs w:val="24"/>
        </w:rPr>
        <w:t>foundation,</w:t>
      </w:r>
      <w:r w:rsidRPr="00E46CF3">
        <w:rPr>
          <w:spacing w:val="-16"/>
          <w:sz w:val="24"/>
          <w:szCs w:val="24"/>
        </w:rPr>
        <w:t xml:space="preserve"> </w:t>
      </w:r>
      <w:r w:rsidRPr="00E46CF3">
        <w:rPr>
          <w:sz w:val="24"/>
          <w:szCs w:val="24"/>
        </w:rPr>
        <w:t>proof</w:t>
      </w:r>
      <w:r w:rsidRPr="00E46CF3">
        <w:rPr>
          <w:spacing w:val="-14"/>
          <w:sz w:val="24"/>
          <w:szCs w:val="24"/>
        </w:rPr>
        <w:t xml:space="preserve"> </w:t>
      </w:r>
      <w:r w:rsidRPr="00E46CF3">
        <w:rPr>
          <w:sz w:val="24"/>
          <w:szCs w:val="24"/>
        </w:rPr>
        <w:t>rolling</w:t>
      </w:r>
      <w:r w:rsidRPr="00E46CF3">
        <w:rPr>
          <w:spacing w:val="-14"/>
          <w:sz w:val="24"/>
          <w:szCs w:val="24"/>
        </w:rPr>
        <w:t xml:space="preserve"> </w:t>
      </w:r>
      <w:r w:rsidRPr="00E46CF3">
        <w:rPr>
          <w:sz w:val="24"/>
          <w:szCs w:val="24"/>
        </w:rPr>
        <w:t>foundation</w:t>
      </w:r>
      <w:r w:rsidRPr="00E46CF3">
        <w:rPr>
          <w:spacing w:val="-16"/>
          <w:sz w:val="24"/>
          <w:szCs w:val="24"/>
        </w:rPr>
        <w:t xml:space="preserve"> </w:t>
      </w:r>
      <w:r w:rsidRPr="00E46CF3">
        <w:rPr>
          <w:sz w:val="24"/>
          <w:szCs w:val="24"/>
        </w:rPr>
        <w:t xml:space="preserve">soils, and constructing the concrete leveling pad; all required excavation; and for furnishing all labor, </w:t>
      </w:r>
      <w:r w:rsidR="00586E30">
        <w:rPr>
          <w:sz w:val="24"/>
          <w:szCs w:val="24"/>
        </w:rPr>
        <w:t xml:space="preserve">materials, </w:t>
      </w:r>
      <w:r w:rsidRPr="00E46CF3">
        <w:rPr>
          <w:sz w:val="24"/>
          <w:szCs w:val="24"/>
        </w:rPr>
        <w:t>tools, equipment, and incidentals necessary to complete the</w:t>
      </w:r>
      <w:r w:rsidRPr="00E46CF3">
        <w:rPr>
          <w:spacing w:val="-2"/>
          <w:sz w:val="24"/>
          <w:szCs w:val="24"/>
        </w:rPr>
        <w:t xml:space="preserve"> </w:t>
      </w:r>
      <w:r w:rsidRPr="00E46CF3">
        <w:rPr>
          <w:sz w:val="24"/>
          <w:szCs w:val="24"/>
        </w:rPr>
        <w:t>work.</w:t>
      </w:r>
    </w:p>
    <w:p w14:paraId="6A7BD5BD" w14:textId="77777777" w:rsidR="00AA6E84" w:rsidRPr="00E46CF3" w:rsidRDefault="00FD3BEB" w:rsidP="00D8628A">
      <w:pPr>
        <w:pStyle w:val="BodyText"/>
        <w:spacing w:before="240" w:after="240" w:line="276" w:lineRule="auto"/>
        <w:jc w:val="both"/>
      </w:pPr>
      <w:r w:rsidRPr="00E46CF3">
        <w:t>Payment will be made under:</w:t>
      </w:r>
    </w:p>
    <w:p w14:paraId="0B9BF0B2" w14:textId="7900C0A3" w:rsidR="00AA6E84" w:rsidRPr="00E46CF3" w:rsidRDefault="00FD3BEB" w:rsidP="00D8628A">
      <w:pPr>
        <w:pStyle w:val="BodyText"/>
        <w:tabs>
          <w:tab w:val="left" w:pos="7920"/>
        </w:tabs>
        <w:spacing w:before="240" w:after="240" w:line="276" w:lineRule="auto"/>
        <w:ind w:left="720"/>
        <w:jc w:val="both"/>
      </w:pPr>
      <w:r w:rsidRPr="00E46CF3">
        <w:rPr>
          <w:u w:val="single"/>
        </w:rPr>
        <w:t>Pay</w:t>
      </w:r>
      <w:r w:rsidRPr="00E46CF3">
        <w:rPr>
          <w:spacing w:val="-1"/>
          <w:u w:val="single"/>
        </w:rPr>
        <w:t xml:space="preserve"> </w:t>
      </w:r>
      <w:r w:rsidRPr="00E46CF3">
        <w:rPr>
          <w:u w:val="single"/>
        </w:rPr>
        <w:t>Item</w:t>
      </w:r>
      <w:r w:rsidR="00FE3A08" w:rsidRPr="00D551B9">
        <w:tab/>
      </w:r>
      <w:r w:rsidRPr="00FE3A08">
        <w:rPr>
          <w:u w:val="single"/>
        </w:rPr>
        <w:t>Pay Unit</w:t>
      </w:r>
    </w:p>
    <w:p w14:paraId="20590E91" w14:textId="39824D12" w:rsidR="00AA6E84" w:rsidRPr="00E46CF3" w:rsidRDefault="00FD3BEB" w:rsidP="00D8628A">
      <w:pPr>
        <w:pStyle w:val="BodyText"/>
        <w:tabs>
          <w:tab w:val="left" w:leader="dot" w:pos="7920"/>
        </w:tabs>
        <w:spacing w:before="240" w:after="240" w:line="276" w:lineRule="auto"/>
      </w:pPr>
      <w:r>
        <w:t>227.</w:t>
      </w:r>
      <w:r w:rsidR="74E0D982">
        <w:t>01</w:t>
      </w:r>
      <w:r w:rsidR="007E7A0F">
        <w:t>00001</w:t>
      </w:r>
      <w:r w:rsidR="00DC2D84">
        <w:t>  </w:t>
      </w:r>
      <w:r>
        <w:t>Retaining Wall, Mechanically Stabilized Earth</w:t>
      </w:r>
      <w:r w:rsidR="004D33F6">
        <w:t xml:space="preserve">, </w:t>
      </w:r>
      <w:r w:rsidR="007E7A0F">
        <w:t>FGA</w:t>
      </w:r>
      <w:r>
        <w:tab/>
        <w:t>Lump Sum</w:t>
      </w:r>
    </w:p>
    <w:sectPr w:rsidR="00AA6E84" w:rsidRPr="00E46CF3">
      <w:headerReference w:type="even" r:id="rId13"/>
      <w:headerReference w:type="default" r:id="rId14"/>
      <w:footerReference w:type="even" r:id="rId15"/>
      <w:footerReference w:type="default" r:id="rId16"/>
      <w:pgSz w:w="12240" w:h="15840"/>
      <w:pgMar w:top="1000" w:right="960" w:bottom="880" w:left="980" w:header="587"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4E4B" w14:textId="77777777" w:rsidR="006C5F71" w:rsidRDefault="006C5F71">
      <w:r>
        <w:separator/>
      </w:r>
    </w:p>
  </w:endnote>
  <w:endnote w:type="continuationSeparator" w:id="0">
    <w:p w14:paraId="0C16F0C6" w14:textId="77777777" w:rsidR="006C5F71" w:rsidRDefault="006C5F71">
      <w:r>
        <w:continuationSeparator/>
      </w:r>
    </w:p>
  </w:endnote>
  <w:endnote w:type="continuationNotice" w:id="1">
    <w:p w14:paraId="43C15871" w14:textId="77777777" w:rsidR="006C5F71" w:rsidRDefault="006C5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211D" w14:textId="1AB294C0" w:rsidR="00AA6E84" w:rsidRDefault="00AA6E8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4EAE" w14:textId="249F9F64" w:rsidR="00AA6E84" w:rsidRDefault="00AA6E8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1910" w14:textId="77777777" w:rsidR="006C5F71" w:rsidRDefault="006C5F71">
      <w:r>
        <w:separator/>
      </w:r>
    </w:p>
  </w:footnote>
  <w:footnote w:type="continuationSeparator" w:id="0">
    <w:p w14:paraId="052DFC03" w14:textId="77777777" w:rsidR="006C5F71" w:rsidRDefault="006C5F71">
      <w:r>
        <w:continuationSeparator/>
      </w:r>
    </w:p>
  </w:footnote>
  <w:footnote w:type="continuationNotice" w:id="1">
    <w:p w14:paraId="6B77AD8D" w14:textId="77777777" w:rsidR="006C5F71" w:rsidRDefault="006C5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7140" w14:textId="43D24FEC" w:rsidR="00AA6E84" w:rsidRDefault="00AA6E8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79F0" w14:textId="72A08BCB" w:rsidR="00AA6E84" w:rsidRDefault="00AA6E8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4FF1"/>
    <w:multiLevelType w:val="hybridMultilevel"/>
    <w:tmpl w:val="2806B24A"/>
    <w:lvl w:ilvl="0" w:tplc="3A32143A">
      <w:start w:val="1"/>
      <w:numFmt w:val="lowerLetter"/>
      <w:lvlText w:val="(%1)"/>
      <w:lvlJc w:val="left"/>
      <w:pPr>
        <w:ind w:left="820" w:hanging="720"/>
      </w:pPr>
      <w:rPr>
        <w:rFonts w:ascii="Times New Roman" w:eastAsia="Times New Roman" w:hAnsi="Times New Roman" w:cs="Times New Roman" w:hint="default"/>
        <w:spacing w:val="-25"/>
        <w:w w:val="99"/>
        <w:sz w:val="24"/>
        <w:szCs w:val="24"/>
      </w:rPr>
    </w:lvl>
    <w:lvl w:ilvl="1" w:tplc="6E040128">
      <w:start w:val="1"/>
      <w:numFmt w:val="decimal"/>
      <w:lvlText w:val="(%2)"/>
      <w:lvlJc w:val="left"/>
      <w:pPr>
        <w:ind w:left="1540" w:hanging="721"/>
      </w:pPr>
      <w:rPr>
        <w:rFonts w:ascii="Times New Roman" w:eastAsia="Times New Roman" w:hAnsi="Times New Roman" w:cs="Times New Roman" w:hint="default"/>
        <w:spacing w:val="-2"/>
        <w:w w:val="99"/>
        <w:sz w:val="24"/>
        <w:szCs w:val="24"/>
      </w:rPr>
    </w:lvl>
    <w:lvl w:ilvl="2" w:tplc="9D9CE0FC">
      <w:numFmt w:val="bullet"/>
      <w:lvlText w:val="•"/>
      <w:lvlJc w:val="left"/>
      <w:pPr>
        <w:ind w:left="2513" w:hanging="721"/>
      </w:pPr>
      <w:rPr>
        <w:rFonts w:hint="default"/>
      </w:rPr>
    </w:lvl>
    <w:lvl w:ilvl="3" w:tplc="C8806548">
      <w:numFmt w:val="bullet"/>
      <w:lvlText w:val="•"/>
      <w:lvlJc w:val="left"/>
      <w:pPr>
        <w:ind w:left="3486" w:hanging="721"/>
      </w:pPr>
      <w:rPr>
        <w:rFonts w:hint="default"/>
      </w:rPr>
    </w:lvl>
    <w:lvl w:ilvl="4" w:tplc="18781174">
      <w:numFmt w:val="bullet"/>
      <w:lvlText w:val="•"/>
      <w:lvlJc w:val="left"/>
      <w:pPr>
        <w:ind w:left="4460" w:hanging="721"/>
      </w:pPr>
      <w:rPr>
        <w:rFonts w:hint="default"/>
      </w:rPr>
    </w:lvl>
    <w:lvl w:ilvl="5" w:tplc="D610C4DE">
      <w:numFmt w:val="bullet"/>
      <w:lvlText w:val="•"/>
      <w:lvlJc w:val="left"/>
      <w:pPr>
        <w:ind w:left="5433" w:hanging="721"/>
      </w:pPr>
      <w:rPr>
        <w:rFonts w:hint="default"/>
      </w:rPr>
    </w:lvl>
    <w:lvl w:ilvl="6" w:tplc="22E4EAD6">
      <w:numFmt w:val="bullet"/>
      <w:lvlText w:val="•"/>
      <w:lvlJc w:val="left"/>
      <w:pPr>
        <w:ind w:left="6406" w:hanging="721"/>
      </w:pPr>
      <w:rPr>
        <w:rFonts w:hint="default"/>
      </w:rPr>
    </w:lvl>
    <w:lvl w:ilvl="7" w:tplc="DABCEE8C">
      <w:numFmt w:val="bullet"/>
      <w:lvlText w:val="•"/>
      <w:lvlJc w:val="left"/>
      <w:pPr>
        <w:ind w:left="7380" w:hanging="721"/>
      </w:pPr>
      <w:rPr>
        <w:rFonts w:hint="default"/>
      </w:rPr>
    </w:lvl>
    <w:lvl w:ilvl="8" w:tplc="F5AA3D74">
      <w:numFmt w:val="bullet"/>
      <w:lvlText w:val="•"/>
      <w:lvlJc w:val="left"/>
      <w:pPr>
        <w:ind w:left="8353" w:hanging="721"/>
      </w:pPr>
      <w:rPr>
        <w:rFonts w:hint="default"/>
      </w:rPr>
    </w:lvl>
  </w:abstractNum>
  <w:abstractNum w:abstractNumId="1" w15:restartNumberingAfterBreak="0">
    <w:nsid w:val="22915E65"/>
    <w:multiLevelType w:val="hybridMultilevel"/>
    <w:tmpl w:val="4C1E83DE"/>
    <w:lvl w:ilvl="0" w:tplc="7AEE5C16">
      <w:start w:val="1"/>
      <w:numFmt w:val="lowerLetter"/>
      <w:lvlText w:val="(%1)"/>
      <w:lvlJc w:val="left"/>
      <w:pPr>
        <w:ind w:left="820" w:hanging="720"/>
      </w:pPr>
      <w:rPr>
        <w:rFonts w:ascii="Times New Roman" w:eastAsia="Times New Roman" w:hAnsi="Times New Roman" w:cs="Times New Roman" w:hint="default"/>
        <w:spacing w:val="-27"/>
        <w:w w:val="99"/>
        <w:sz w:val="24"/>
        <w:szCs w:val="24"/>
      </w:rPr>
    </w:lvl>
    <w:lvl w:ilvl="1" w:tplc="12D48E6C">
      <w:start w:val="1"/>
      <w:numFmt w:val="decimal"/>
      <w:lvlText w:val="(%2)"/>
      <w:lvlJc w:val="left"/>
      <w:pPr>
        <w:ind w:left="1540" w:hanging="721"/>
      </w:pPr>
      <w:rPr>
        <w:rFonts w:ascii="Times New Roman" w:eastAsia="Times New Roman" w:hAnsi="Times New Roman" w:cs="Times New Roman" w:hint="default"/>
        <w:spacing w:val="-8"/>
        <w:w w:val="99"/>
        <w:sz w:val="24"/>
        <w:szCs w:val="24"/>
      </w:rPr>
    </w:lvl>
    <w:lvl w:ilvl="2" w:tplc="669E5464">
      <w:numFmt w:val="bullet"/>
      <w:lvlText w:val="•"/>
      <w:lvlJc w:val="left"/>
      <w:pPr>
        <w:ind w:left="2513" w:hanging="721"/>
      </w:pPr>
      <w:rPr>
        <w:rFonts w:hint="default"/>
      </w:rPr>
    </w:lvl>
    <w:lvl w:ilvl="3" w:tplc="D4C421FC">
      <w:numFmt w:val="bullet"/>
      <w:lvlText w:val="•"/>
      <w:lvlJc w:val="left"/>
      <w:pPr>
        <w:ind w:left="3486" w:hanging="721"/>
      </w:pPr>
      <w:rPr>
        <w:rFonts w:hint="default"/>
      </w:rPr>
    </w:lvl>
    <w:lvl w:ilvl="4" w:tplc="267825FA">
      <w:numFmt w:val="bullet"/>
      <w:lvlText w:val="•"/>
      <w:lvlJc w:val="left"/>
      <w:pPr>
        <w:ind w:left="4460" w:hanging="721"/>
      </w:pPr>
      <w:rPr>
        <w:rFonts w:hint="default"/>
      </w:rPr>
    </w:lvl>
    <w:lvl w:ilvl="5" w:tplc="5C022F34">
      <w:numFmt w:val="bullet"/>
      <w:lvlText w:val="•"/>
      <w:lvlJc w:val="left"/>
      <w:pPr>
        <w:ind w:left="5433" w:hanging="721"/>
      </w:pPr>
      <w:rPr>
        <w:rFonts w:hint="default"/>
      </w:rPr>
    </w:lvl>
    <w:lvl w:ilvl="6" w:tplc="2B62B56E">
      <w:numFmt w:val="bullet"/>
      <w:lvlText w:val="•"/>
      <w:lvlJc w:val="left"/>
      <w:pPr>
        <w:ind w:left="6406" w:hanging="721"/>
      </w:pPr>
      <w:rPr>
        <w:rFonts w:hint="default"/>
      </w:rPr>
    </w:lvl>
    <w:lvl w:ilvl="7" w:tplc="D3DACD8C">
      <w:numFmt w:val="bullet"/>
      <w:lvlText w:val="•"/>
      <w:lvlJc w:val="left"/>
      <w:pPr>
        <w:ind w:left="7380" w:hanging="721"/>
      </w:pPr>
      <w:rPr>
        <w:rFonts w:hint="default"/>
      </w:rPr>
    </w:lvl>
    <w:lvl w:ilvl="8" w:tplc="E92CD08C">
      <w:numFmt w:val="bullet"/>
      <w:lvlText w:val="•"/>
      <w:lvlJc w:val="left"/>
      <w:pPr>
        <w:ind w:left="8353" w:hanging="721"/>
      </w:pPr>
      <w:rPr>
        <w:rFonts w:hint="default"/>
      </w:rPr>
    </w:lvl>
  </w:abstractNum>
  <w:abstractNum w:abstractNumId="2" w15:restartNumberingAfterBreak="0">
    <w:nsid w:val="4E4B4B68"/>
    <w:multiLevelType w:val="multilevel"/>
    <w:tmpl w:val="1E2E1144"/>
    <w:lvl w:ilvl="0">
      <w:start w:val="227"/>
      <w:numFmt w:val="decimal"/>
      <w:lvlText w:val="%1"/>
      <w:lvlJc w:val="left"/>
      <w:pPr>
        <w:ind w:left="100" w:hanging="780"/>
      </w:pPr>
      <w:rPr>
        <w:rFonts w:hint="default"/>
      </w:rPr>
    </w:lvl>
    <w:lvl w:ilvl="1">
      <w:start w:val="1"/>
      <w:numFmt w:val="decimalZero"/>
      <w:lvlText w:val="%1.%2"/>
      <w:lvlJc w:val="left"/>
      <w:pPr>
        <w:ind w:left="100" w:hanging="780"/>
      </w:pPr>
      <w:rPr>
        <w:rFonts w:hint="default"/>
        <w:spacing w:val="-15"/>
        <w:w w:val="99"/>
        <w:u w:val="single" w:color="000000"/>
      </w:rPr>
    </w:lvl>
    <w:lvl w:ilvl="2">
      <w:numFmt w:val="bullet"/>
      <w:lvlText w:val="•"/>
      <w:lvlJc w:val="left"/>
      <w:pPr>
        <w:ind w:left="2140" w:hanging="780"/>
      </w:pPr>
      <w:rPr>
        <w:rFonts w:hint="default"/>
      </w:rPr>
    </w:lvl>
    <w:lvl w:ilvl="3">
      <w:numFmt w:val="bullet"/>
      <w:lvlText w:val="•"/>
      <w:lvlJc w:val="left"/>
      <w:pPr>
        <w:ind w:left="3160" w:hanging="780"/>
      </w:pPr>
      <w:rPr>
        <w:rFonts w:hint="default"/>
      </w:rPr>
    </w:lvl>
    <w:lvl w:ilvl="4">
      <w:numFmt w:val="bullet"/>
      <w:lvlText w:val="•"/>
      <w:lvlJc w:val="left"/>
      <w:pPr>
        <w:ind w:left="4180" w:hanging="780"/>
      </w:pPr>
      <w:rPr>
        <w:rFonts w:hint="default"/>
      </w:rPr>
    </w:lvl>
    <w:lvl w:ilvl="5">
      <w:numFmt w:val="bullet"/>
      <w:lvlText w:val="•"/>
      <w:lvlJc w:val="left"/>
      <w:pPr>
        <w:ind w:left="5200" w:hanging="780"/>
      </w:pPr>
      <w:rPr>
        <w:rFonts w:hint="default"/>
      </w:rPr>
    </w:lvl>
    <w:lvl w:ilvl="6">
      <w:numFmt w:val="bullet"/>
      <w:lvlText w:val="•"/>
      <w:lvlJc w:val="left"/>
      <w:pPr>
        <w:ind w:left="6220" w:hanging="780"/>
      </w:pPr>
      <w:rPr>
        <w:rFonts w:hint="default"/>
      </w:rPr>
    </w:lvl>
    <w:lvl w:ilvl="7">
      <w:numFmt w:val="bullet"/>
      <w:lvlText w:val="•"/>
      <w:lvlJc w:val="left"/>
      <w:pPr>
        <w:ind w:left="7240" w:hanging="780"/>
      </w:pPr>
      <w:rPr>
        <w:rFonts w:hint="default"/>
      </w:rPr>
    </w:lvl>
    <w:lvl w:ilvl="8">
      <w:numFmt w:val="bullet"/>
      <w:lvlText w:val="•"/>
      <w:lvlJc w:val="left"/>
      <w:pPr>
        <w:ind w:left="8260" w:hanging="780"/>
      </w:pPr>
      <w:rPr>
        <w:rFonts w:hint="default"/>
      </w:rPr>
    </w:lvl>
  </w:abstractNum>
  <w:abstractNum w:abstractNumId="3" w15:restartNumberingAfterBreak="0">
    <w:nsid w:val="5A4F468B"/>
    <w:multiLevelType w:val="hybridMultilevel"/>
    <w:tmpl w:val="0CAA1C2C"/>
    <w:lvl w:ilvl="0" w:tplc="03F881BA">
      <w:start w:val="1"/>
      <w:numFmt w:val="lowerLetter"/>
      <w:lvlText w:val="(%1)"/>
      <w:lvlJc w:val="left"/>
      <w:pPr>
        <w:ind w:left="820" w:hanging="720"/>
      </w:pPr>
      <w:rPr>
        <w:rFonts w:ascii="Times New Roman" w:eastAsia="Times New Roman" w:hAnsi="Times New Roman" w:cs="Times New Roman" w:hint="default"/>
        <w:spacing w:val="-27"/>
        <w:w w:val="99"/>
        <w:sz w:val="24"/>
        <w:szCs w:val="24"/>
      </w:rPr>
    </w:lvl>
    <w:lvl w:ilvl="1" w:tplc="2B9454A4">
      <w:numFmt w:val="bullet"/>
      <w:lvlText w:val="•"/>
      <w:lvlJc w:val="left"/>
      <w:pPr>
        <w:ind w:left="1768" w:hanging="720"/>
      </w:pPr>
      <w:rPr>
        <w:rFonts w:hint="default"/>
      </w:rPr>
    </w:lvl>
    <w:lvl w:ilvl="2" w:tplc="AAC01FC0">
      <w:numFmt w:val="bullet"/>
      <w:lvlText w:val="•"/>
      <w:lvlJc w:val="left"/>
      <w:pPr>
        <w:ind w:left="2716" w:hanging="720"/>
      </w:pPr>
      <w:rPr>
        <w:rFonts w:hint="default"/>
      </w:rPr>
    </w:lvl>
    <w:lvl w:ilvl="3" w:tplc="8BD2750C">
      <w:numFmt w:val="bullet"/>
      <w:lvlText w:val="•"/>
      <w:lvlJc w:val="left"/>
      <w:pPr>
        <w:ind w:left="3664" w:hanging="720"/>
      </w:pPr>
      <w:rPr>
        <w:rFonts w:hint="default"/>
      </w:rPr>
    </w:lvl>
    <w:lvl w:ilvl="4" w:tplc="B3066D38">
      <w:numFmt w:val="bullet"/>
      <w:lvlText w:val="•"/>
      <w:lvlJc w:val="left"/>
      <w:pPr>
        <w:ind w:left="4612" w:hanging="720"/>
      </w:pPr>
      <w:rPr>
        <w:rFonts w:hint="default"/>
      </w:rPr>
    </w:lvl>
    <w:lvl w:ilvl="5" w:tplc="7D7A3DF0">
      <w:numFmt w:val="bullet"/>
      <w:lvlText w:val="•"/>
      <w:lvlJc w:val="left"/>
      <w:pPr>
        <w:ind w:left="5560" w:hanging="720"/>
      </w:pPr>
      <w:rPr>
        <w:rFonts w:hint="default"/>
      </w:rPr>
    </w:lvl>
    <w:lvl w:ilvl="6" w:tplc="90966A66">
      <w:numFmt w:val="bullet"/>
      <w:lvlText w:val="•"/>
      <w:lvlJc w:val="left"/>
      <w:pPr>
        <w:ind w:left="6508" w:hanging="720"/>
      </w:pPr>
      <w:rPr>
        <w:rFonts w:hint="default"/>
      </w:rPr>
    </w:lvl>
    <w:lvl w:ilvl="7" w:tplc="5F908D6E">
      <w:numFmt w:val="bullet"/>
      <w:lvlText w:val="•"/>
      <w:lvlJc w:val="left"/>
      <w:pPr>
        <w:ind w:left="7456" w:hanging="720"/>
      </w:pPr>
      <w:rPr>
        <w:rFonts w:hint="default"/>
      </w:rPr>
    </w:lvl>
    <w:lvl w:ilvl="8" w:tplc="543020A8">
      <w:numFmt w:val="bullet"/>
      <w:lvlText w:val="•"/>
      <w:lvlJc w:val="left"/>
      <w:pPr>
        <w:ind w:left="8404" w:hanging="720"/>
      </w:pPr>
      <w:rPr>
        <w:rFonts w:hint="default"/>
      </w:rPr>
    </w:lvl>
  </w:abstractNum>
  <w:num w:numId="1" w16cid:durableId="1972246341">
    <w:abstractNumId w:val="3"/>
  </w:num>
  <w:num w:numId="2" w16cid:durableId="1710375594">
    <w:abstractNumId w:val="1"/>
  </w:num>
  <w:num w:numId="3" w16cid:durableId="1297176820">
    <w:abstractNumId w:val="0"/>
  </w:num>
  <w:num w:numId="4" w16cid:durableId="8020451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chop, Peter">
    <w15:presenceInfo w15:providerId="AD" w15:userId="S::Peter.Pochop@vermont.gov::bd70040b-a104-4925-a4f4-c919824e3d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AA6E84"/>
    <w:rsid w:val="000109D6"/>
    <w:rsid w:val="0002778C"/>
    <w:rsid w:val="00061076"/>
    <w:rsid w:val="00063225"/>
    <w:rsid w:val="00073AD8"/>
    <w:rsid w:val="00074B42"/>
    <w:rsid w:val="00087154"/>
    <w:rsid w:val="0008768E"/>
    <w:rsid w:val="000A4D79"/>
    <w:rsid w:val="000C5CC1"/>
    <w:rsid w:val="000D0A00"/>
    <w:rsid w:val="000E3457"/>
    <w:rsid w:val="000E5806"/>
    <w:rsid w:val="001072B9"/>
    <w:rsid w:val="001911D8"/>
    <w:rsid w:val="0019338F"/>
    <w:rsid w:val="00227890"/>
    <w:rsid w:val="002A5649"/>
    <w:rsid w:val="002C485A"/>
    <w:rsid w:val="002C4B76"/>
    <w:rsid w:val="003418A0"/>
    <w:rsid w:val="00383AD3"/>
    <w:rsid w:val="00393B60"/>
    <w:rsid w:val="003E63E3"/>
    <w:rsid w:val="00417DFD"/>
    <w:rsid w:val="00424406"/>
    <w:rsid w:val="004754D4"/>
    <w:rsid w:val="004C5791"/>
    <w:rsid w:val="004D33F6"/>
    <w:rsid w:val="004F4CC0"/>
    <w:rsid w:val="0050756B"/>
    <w:rsid w:val="00512C80"/>
    <w:rsid w:val="00573E99"/>
    <w:rsid w:val="00586E30"/>
    <w:rsid w:val="005B1A05"/>
    <w:rsid w:val="005D0001"/>
    <w:rsid w:val="005D0BCF"/>
    <w:rsid w:val="005D39EF"/>
    <w:rsid w:val="005F0B5A"/>
    <w:rsid w:val="005F59A7"/>
    <w:rsid w:val="005F793E"/>
    <w:rsid w:val="00600B84"/>
    <w:rsid w:val="0061044D"/>
    <w:rsid w:val="006318E5"/>
    <w:rsid w:val="00676637"/>
    <w:rsid w:val="00682D38"/>
    <w:rsid w:val="006973F6"/>
    <w:rsid w:val="006A153B"/>
    <w:rsid w:val="006C5F71"/>
    <w:rsid w:val="007142B7"/>
    <w:rsid w:val="00766EBB"/>
    <w:rsid w:val="007817EF"/>
    <w:rsid w:val="00796A57"/>
    <w:rsid w:val="007E7A0F"/>
    <w:rsid w:val="008334CA"/>
    <w:rsid w:val="00866BAA"/>
    <w:rsid w:val="008B403F"/>
    <w:rsid w:val="008D0C7A"/>
    <w:rsid w:val="008F4C96"/>
    <w:rsid w:val="00963384"/>
    <w:rsid w:val="00964425"/>
    <w:rsid w:val="00971383"/>
    <w:rsid w:val="009B2B37"/>
    <w:rsid w:val="009B7CFD"/>
    <w:rsid w:val="009F70D7"/>
    <w:rsid w:val="00A23C5A"/>
    <w:rsid w:val="00A3608C"/>
    <w:rsid w:val="00A54793"/>
    <w:rsid w:val="00A92B07"/>
    <w:rsid w:val="00A964D9"/>
    <w:rsid w:val="00A966FE"/>
    <w:rsid w:val="00AA5BF3"/>
    <w:rsid w:val="00AA6E84"/>
    <w:rsid w:val="00AB0A5F"/>
    <w:rsid w:val="00AB5669"/>
    <w:rsid w:val="00AB6627"/>
    <w:rsid w:val="00AC2D5E"/>
    <w:rsid w:val="00AE6BAB"/>
    <w:rsid w:val="00B202EB"/>
    <w:rsid w:val="00B50FFD"/>
    <w:rsid w:val="00B558F3"/>
    <w:rsid w:val="00BB1C88"/>
    <w:rsid w:val="00BC3FAA"/>
    <w:rsid w:val="00BD0A34"/>
    <w:rsid w:val="00BD1573"/>
    <w:rsid w:val="00C2594C"/>
    <w:rsid w:val="00C579C7"/>
    <w:rsid w:val="00C83D86"/>
    <w:rsid w:val="00C93F15"/>
    <w:rsid w:val="00CD2332"/>
    <w:rsid w:val="00D122E7"/>
    <w:rsid w:val="00D551B9"/>
    <w:rsid w:val="00D74818"/>
    <w:rsid w:val="00D76286"/>
    <w:rsid w:val="00D77E9E"/>
    <w:rsid w:val="00D8628A"/>
    <w:rsid w:val="00D96037"/>
    <w:rsid w:val="00DB01CC"/>
    <w:rsid w:val="00DC2D84"/>
    <w:rsid w:val="00DF5136"/>
    <w:rsid w:val="00E051CB"/>
    <w:rsid w:val="00E12F9A"/>
    <w:rsid w:val="00E46CF3"/>
    <w:rsid w:val="00E51790"/>
    <w:rsid w:val="00E63A42"/>
    <w:rsid w:val="00E64A3E"/>
    <w:rsid w:val="00EA30D1"/>
    <w:rsid w:val="00EB18ED"/>
    <w:rsid w:val="00EE75D5"/>
    <w:rsid w:val="00EF496F"/>
    <w:rsid w:val="00F07305"/>
    <w:rsid w:val="00F10097"/>
    <w:rsid w:val="00F25824"/>
    <w:rsid w:val="00F25F41"/>
    <w:rsid w:val="00F6508C"/>
    <w:rsid w:val="00F8223A"/>
    <w:rsid w:val="00FA46F2"/>
    <w:rsid w:val="00FC4F1E"/>
    <w:rsid w:val="00FD3BEB"/>
    <w:rsid w:val="00FE1C04"/>
    <w:rsid w:val="00FE3A08"/>
    <w:rsid w:val="00FE44DC"/>
    <w:rsid w:val="01E59C6F"/>
    <w:rsid w:val="0373B3BA"/>
    <w:rsid w:val="0379C7CF"/>
    <w:rsid w:val="0514AFC8"/>
    <w:rsid w:val="09A2CCA7"/>
    <w:rsid w:val="0B7F18AE"/>
    <w:rsid w:val="0BA49B95"/>
    <w:rsid w:val="0C398AC4"/>
    <w:rsid w:val="0EEBE40E"/>
    <w:rsid w:val="115DF744"/>
    <w:rsid w:val="1361FB41"/>
    <w:rsid w:val="1751710B"/>
    <w:rsid w:val="17A2B241"/>
    <w:rsid w:val="1DDD2D9E"/>
    <w:rsid w:val="1F08BC61"/>
    <w:rsid w:val="207DB4CD"/>
    <w:rsid w:val="216FD9F7"/>
    <w:rsid w:val="21D5D9E0"/>
    <w:rsid w:val="22722B9E"/>
    <w:rsid w:val="2333E3B2"/>
    <w:rsid w:val="2455AADE"/>
    <w:rsid w:val="25B620D1"/>
    <w:rsid w:val="29B4B4C0"/>
    <w:rsid w:val="2A46966B"/>
    <w:rsid w:val="32FCEDE2"/>
    <w:rsid w:val="34DE56AE"/>
    <w:rsid w:val="37769F29"/>
    <w:rsid w:val="3792594A"/>
    <w:rsid w:val="3852CFFB"/>
    <w:rsid w:val="3FEF8CE1"/>
    <w:rsid w:val="421643DC"/>
    <w:rsid w:val="46D53651"/>
    <w:rsid w:val="49C9A9DD"/>
    <w:rsid w:val="4F05E84E"/>
    <w:rsid w:val="5059B20F"/>
    <w:rsid w:val="50D93161"/>
    <w:rsid w:val="56C5571F"/>
    <w:rsid w:val="5A846EFA"/>
    <w:rsid w:val="5C946C53"/>
    <w:rsid w:val="611B2ECA"/>
    <w:rsid w:val="63063656"/>
    <w:rsid w:val="64335B87"/>
    <w:rsid w:val="65565139"/>
    <w:rsid w:val="67F568AC"/>
    <w:rsid w:val="71AD45B3"/>
    <w:rsid w:val="725EC9CA"/>
    <w:rsid w:val="73265AC6"/>
    <w:rsid w:val="74E0D982"/>
    <w:rsid w:val="7A301B5A"/>
    <w:rsid w:val="7BFA3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CD65A"/>
  <w15:docId w15:val="{3226F1F9-B857-4A3F-A0C0-E9FECE5B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0"/>
      <w:jc w:val="both"/>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7A0F"/>
    <w:pPr>
      <w:tabs>
        <w:tab w:val="center" w:pos="4680"/>
        <w:tab w:val="right" w:pos="9360"/>
      </w:tabs>
    </w:pPr>
  </w:style>
  <w:style w:type="character" w:customStyle="1" w:styleId="HeaderChar">
    <w:name w:val="Header Char"/>
    <w:basedOn w:val="DefaultParagraphFont"/>
    <w:link w:val="Header"/>
    <w:uiPriority w:val="99"/>
    <w:rsid w:val="007E7A0F"/>
    <w:rPr>
      <w:rFonts w:ascii="Times New Roman" w:eastAsia="Times New Roman" w:hAnsi="Times New Roman" w:cs="Times New Roman"/>
    </w:rPr>
  </w:style>
  <w:style w:type="paragraph" w:styleId="Footer">
    <w:name w:val="footer"/>
    <w:basedOn w:val="Normal"/>
    <w:link w:val="FooterChar"/>
    <w:uiPriority w:val="99"/>
    <w:unhideWhenUsed/>
    <w:rsid w:val="007E7A0F"/>
    <w:pPr>
      <w:tabs>
        <w:tab w:val="center" w:pos="4680"/>
        <w:tab w:val="right" w:pos="9360"/>
      </w:tabs>
    </w:pPr>
  </w:style>
  <w:style w:type="character" w:customStyle="1" w:styleId="FooterChar">
    <w:name w:val="Footer Char"/>
    <w:basedOn w:val="DefaultParagraphFont"/>
    <w:link w:val="Footer"/>
    <w:uiPriority w:val="99"/>
    <w:rsid w:val="007E7A0F"/>
    <w:rPr>
      <w:rFonts w:ascii="Times New Roman" w:eastAsia="Times New Roman" w:hAnsi="Times New Roman" w:cs="Times New Roman"/>
    </w:rPr>
  </w:style>
  <w:style w:type="paragraph" w:styleId="Revision">
    <w:name w:val="Revision"/>
    <w:hidden/>
    <w:uiPriority w:val="99"/>
    <w:semiHidden/>
    <w:rsid w:val="008B403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54793"/>
    <w:rPr>
      <w:sz w:val="16"/>
      <w:szCs w:val="16"/>
    </w:rPr>
  </w:style>
  <w:style w:type="paragraph" w:styleId="CommentText">
    <w:name w:val="annotation text"/>
    <w:basedOn w:val="Normal"/>
    <w:link w:val="CommentTextChar"/>
    <w:uiPriority w:val="99"/>
    <w:unhideWhenUsed/>
    <w:rsid w:val="00A54793"/>
    <w:rPr>
      <w:sz w:val="20"/>
      <w:szCs w:val="20"/>
    </w:rPr>
  </w:style>
  <w:style w:type="character" w:customStyle="1" w:styleId="CommentTextChar">
    <w:name w:val="Comment Text Char"/>
    <w:basedOn w:val="DefaultParagraphFont"/>
    <w:link w:val="CommentText"/>
    <w:uiPriority w:val="99"/>
    <w:rsid w:val="00A547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793"/>
    <w:rPr>
      <w:b/>
      <w:bCs/>
    </w:rPr>
  </w:style>
  <w:style w:type="character" w:customStyle="1" w:styleId="CommentSubjectChar">
    <w:name w:val="Comment Subject Char"/>
    <w:basedOn w:val="CommentTextChar"/>
    <w:link w:val="CommentSubject"/>
    <w:uiPriority w:val="99"/>
    <w:semiHidden/>
    <w:rsid w:val="00A54793"/>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D762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p:Policy xmlns:p="office.server.policy" id="" local="true">
  <p:Name>Document</p:Name>
  <p:Description/>
  <p:Statement/>
  <p:PolicyItems/>
</p:Policy>
</file>

<file path=customXml/item5.xml><?xml version="1.0" encoding="utf-8"?>
<p:properties xmlns:p="http://schemas.microsoft.com/office/2006/metadata/properties" xmlns:xsi="http://www.w3.org/2001/XMLSchema-instance" xmlns:pc="http://schemas.microsoft.com/office/infopath/2007/PartnerControls">
  <documentManagement>
    <_dlc_DocId xmlns="22ec0dd7-095b-41f2-b8b8-a624496b8c6b">E23TXWV46JPD-1446909593-6469</_dlc_DocId>
    <_dlc_DocIdUrl xmlns="22ec0dd7-095b-41f2-b8b8-a624496b8c6b">
      <Url>https://outside.vermont.gov/agency/VTRANS/external/MAB-LP/_layouts/15/DocIdRedir.aspx?ID=E23TXWV46JPD-1446909593-6469</Url>
      <Description>E23TXWV46JPD-1446909593-6469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B96A4-4E9F-48FD-AA5B-57CE47DD7B68}">
  <ds:schemaRefs>
    <ds:schemaRef ds:uri="http://schemas.microsoft.com/sharepoint/events"/>
  </ds:schemaRefs>
</ds:datastoreItem>
</file>

<file path=customXml/itemProps2.xml><?xml version="1.0" encoding="utf-8"?>
<ds:datastoreItem xmlns:ds="http://schemas.openxmlformats.org/officeDocument/2006/customXml" ds:itemID="{F96C9F30-6EBD-4F64-A099-61FACB067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47c45-8aaa-4bb9-a294-41bdb653617e"/>
    <ds:schemaRef ds:uri="2a208fe3-8287-4a8b-b629-d45392ca0f10"/>
    <ds:schemaRef ds:uri="22ec0dd7-095b-41f2-b8b8-a624496b8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B8A07-0C9D-4CFF-92E0-0DA1F535CC7C}">
  <ds:schemaRefs>
    <ds:schemaRef ds:uri="http://schemas.openxmlformats.org/officeDocument/2006/bibliography"/>
  </ds:schemaRefs>
</ds:datastoreItem>
</file>

<file path=customXml/itemProps4.xml><?xml version="1.0" encoding="utf-8"?>
<ds:datastoreItem xmlns:ds="http://schemas.openxmlformats.org/officeDocument/2006/customXml" ds:itemID="{9DFE1A8C-D54F-4868-AC64-CBDF84D15E4C}">
  <ds:schemaRefs>
    <ds:schemaRef ds:uri="office.server.policy"/>
  </ds:schemaRefs>
</ds:datastoreItem>
</file>

<file path=customXml/itemProps5.xml><?xml version="1.0" encoding="utf-8"?>
<ds:datastoreItem xmlns:ds="http://schemas.openxmlformats.org/officeDocument/2006/customXml" ds:itemID="{35634EC0-0EAD-49AC-BF8A-AD002DD2478A}">
  <ds:schemaRefs>
    <ds:schemaRef ds:uri="22ec0dd7-095b-41f2-b8b8-a624496b8c6b"/>
    <ds:schemaRef ds:uri="http://schemas.microsoft.com/office/2006/documentManagement/types"/>
    <ds:schemaRef ds:uri="8fd47c45-8aaa-4bb9-a294-41bdb653617e"/>
    <ds:schemaRef ds:uri="http://purl.org/dc/elements/1.1/"/>
    <ds:schemaRef ds:uri="2a208fe3-8287-4a8b-b629-d45392ca0f10"/>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1B910265-B7B0-4AEC-89A4-90DA0C569C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2926</TotalTime>
  <Pages>3</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Ducey, Wendy</dc:creator>
  <cp:keywords/>
  <cp:lastModifiedBy>Pochop, Peter</cp:lastModifiedBy>
  <cp:revision>87</cp:revision>
  <dcterms:created xsi:type="dcterms:W3CDTF">2024-06-25T17:52:00Z</dcterms:created>
  <dcterms:modified xsi:type="dcterms:W3CDTF">2025-02-12T17:58:00Z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Adobe Acrobat Pro (64-bit) 23.3.20215</vt:lpwstr>
  </property>
  <property fmtid="{D5CDD505-2E9C-101B-9397-08002B2CF9AE}" pid="4" name="LastSaved">
    <vt:filetime>2024-06-25T00:00:00Z</vt:filetime>
  </property>
  <property fmtid="{D5CDD505-2E9C-101B-9397-08002B2CF9AE}" pid="5" name="ContentTypeId">
    <vt:lpwstr>0x010100F3EAFDA19406B848B7101DD146C7E85B</vt:lpwstr>
  </property>
  <property fmtid="{D5CDD505-2E9C-101B-9397-08002B2CF9AE}" pid="6" name="_dlc_DocIdItemGuid">
    <vt:lpwstr>cad26bb9-d0fe-4d46-96c3-8047d648b499</vt:lpwstr>
  </property>
</Properties>
</file>